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Small</w:t>
      </w:r>
      <w:r>
        <w:t xml:space="preserve"> </w:t>
      </w:r>
      <w:r>
        <w:t xml:space="preserve">LLMs</w:t>
      </w:r>
      <w:r>
        <w:t xml:space="preserve"> </w:t>
      </w:r>
      <w:r>
        <w:t xml:space="preserve">as</w:t>
      </w:r>
      <w:r>
        <w:t xml:space="preserve"> </w:t>
      </w:r>
      <w:r>
        <w:t xml:space="preserve">Tool-Use</w:t>
      </w:r>
      <w:r>
        <w:t xml:space="preserve"> </w:t>
      </w:r>
      <w:r>
        <w:t xml:space="preserve">Agents:</w:t>
      </w:r>
      <w:r>
        <w:t xml:space="preserve"> </w:t>
      </w:r>
      <w:r>
        <w:t xml:space="preserve">A</w:t>
      </w:r>
      <w:r>
        <w:t xml:space="preserve"> </w:t>
      </w:r>
      <w:r>
        <w:t xml:space="preserve">Systematic</w:t>
      </w:r>
      <w:r>
        <w:t xml:space="preserve"> </w:t>
      </w:r>
      <w:r>
        <w:t xml:space="preserve">Study</w:t>
      </w:r>
      <w:r>
        <w:t xml:space="preserve"> </w:t>
      </w:r>
      <w:r>
        <w:t xml:space="preserve">of</w:t>
      </w:r>
      <w:r>
        <w:t xml:space="preserve"> </w:t>
      </w:r>
      <w:r>
        <w:t xml:space="preserve">Parameter-Efficient</w:t>
      </w:r>
      <w:r>
        <w:t xml:space="preserve"> </w:t>
      </w:r>
      <w:r>
        <w:t xml:space="preserve">Fine-Tuning</w:t>
      </w:r>
      <w:r>
        <w:t xml:space="preserve"> </w:t>
      </w:r>
      <w:r>
        <w:t xml:space="preserve">for</w:t>
      </w:r>
      <w:r>
        <w:t xml:space="preserve"> </w:t>
      </w:r>
      <w:r>
        <w:t xml:space="preserve">Function</w:t>
      </w:r>
      <w:r>
        <w:t xml:space="preserve"> </w:t>
      </w:r>
      <w:r>
        <w:t xml:space="preserve">Calling</w:t>
      </w:r>
    </w:p>
    <w:p>
      <w:pPr>
        <w:pStyle w:val="Author"/>
      </w:pPr>
      <w:r>
        <w:t xml:space="preserve">[Author</w:t>
      </w:r>
      <w:r>
        <w:t xml:space="preserve"> </w:t>
      </w:r>
      <w:r>
        <w:t xml:space="preserve">Name],</w:t>
      </w:r>
      <w:r>
        <w:t xml:space="preserve"> </w:t>
      </w:r>
      <w:r>
        <w:t xml:space="preserve">Northwestern</w:t>
      </w:r>
      <w:r>
        <w:t xml:space="preserve"> </w:t>
      </w:r>
      <w:r>
        <w:t xml:space="preserve">Polytechnical</w:t>
      </w:r>
      <w:r>
        <w:t xml:space="preserve"> </w:t>
      </w:r>
      <w:r>
        <w:t xml:space="preserve">University</w:t>
      </w:r>
    </w:p>
    <w:p>
      <w:pPr>
        <w:pStyle w:val="Date"/>
      </w:pPr>
      <w:r>
        <w:t xml:space="preserve">2026</w:t>
      </w:r>
    </w:p>
    <w:bookmarkStart w:id="20" w:name="abstract"/>
    <w:p>
      <w:pPr>
        <w:pStyle w:val="Heading1"/>
      </w:pPr>
      <w:r>
        <w:t xml:space="preserve">Abstract</w:t>
      </w:r>
    </w:p>
    <w:p>
      <w:pPr>
        <w:pStyle w:val="FirstParagraph"/>
      </w:pPr>
      <w:r>
        <w:t xml:space="preserve">Tool use and function calling are essential capabilities for deploying large language models (LLMs) as autonomous agents. While proprietary models excel at these tasks, the potential of small open-source models (1.5B–7B parameters) remains underexplored. In this work, we present a systematic study of parameter-efficient fine-tuning for function calling across five small language models: Qwen2.5 (1.5B, 3B, 7B), LLaMA-3.2-3B, and Phi-3.5-mini. Using QLoRA 4-bit quantization on the Glaive Function Calling v2 dataset, we evaluate models across five metrics: JSON validity, function name accuracy, argument name accuracy, argument value accuracy, and exact match rate. Our experiments reveal three key findings: (1) after fine-tuning, all models converge to 85.8–88.2% exact match regardless of architecture, despite a 12-percentage-point spread in zero-shot performance; (2) a 1.5B-parameter model achieves 85.8% exact match, only 2.4% below a 7B model, suggesting minimal scaling benefit for this task; and (3) just 3,000 training examples capture over 90% of the performance gains achievable with 30,000 examples. We further identify that training data formatting—specifically, the inclusion of explicit stop tokens—has a larger impact on performance than model selection, improving exact match from 58.6% to 87.8%. Our results demonstrate that small language models, when properly fine-tuned, can serve as effective and efficient tool-use agents.</w:t>
      </w:r>
    </w:p>
    <w:bookmarkEnd w:id="20"/>
    <w:bookmarkStart w:id="21" w:name="introduction"/>
    <w:p>
      <w:pPr>
        <w:pStyle w:val="Heading1"/>
      </w:pPr>
      <w:r>
        <w:t xml:space="preserve">Introduction</w:t>
      </w:r>
    </w:p>
    <w:p>
      <w:pPr>
        <w:pStyle w:val="FirstParagraph"/>
      </w:pPr>
      <w:r>
        <w:t xml:space="preserve">The ability to interact with external tools through structured function calls has emerged as a critical capability for deploying language models as autonomous agents (Schick et al., 2023; Qin et al., 2023). Function calling enables models to translate natural language instructions into precise API invocations, bridging the gap between human intent and programmatic execution. While state-of-the-art proprietary models such as GPT-4 and Claude demonstrate strong function calling abilities, the extent to which smaller, open-source models can acquire these capabilities through parameter-efficient fine-tuning remains an open question.</w:t>
      </w:r>
    </w:p>
    <w:p>
      <w:pPr>
        <w:pStyle w:val="BodyText"/>
      </w:pPr>
      <w:r>
        <w:t xml:space="preserve">Recent advances in parameter-efficient fine-tuning (PEFT) methods, particularly QLoRA (Dettmers et al., 2023), have made it feasible to adapt large models on consumer-grade hardware. Simultaneously, the release of capable small language models—including Qwen2.5 (Bai et al., 2023), LLaMA 3.2 (Touvron et al., 2023), and Phi-3.5 (Abdin et al., 2024)—has expanded the landscape of models suitable for resource-constrained deployment. However, systematic comparisons of these models on function calling tasks, particularly under controlled fine-tuning conditions, are lacking.</w:t>
      </w:r>
    </w:p>
    <w:p>
      <w:pPr>
        <w:pStyle w:val="BodyText"/>
      </w:pPr>
      <w:r>
        <w:t xml:space="preserve">In this paper, we address this gap with a comprehensive empirical study. We fine-tune five small language models spanning three architectural families (Qwen, LLaMA, Phi) and three parameter scales (1.5B, 3B, 7B) using identical QLoRA configurations on the Glaive Function Calling v2 dataset. Our evaluation framework measures five complementary metrics that decompose function calling performance into distinct capabilities: JSON format compliance, function selection, argument naming, value matching, and overall exact match.</w:t>
      </w:r>
    </w:p>
    <w:p>
      <w:pPr>
        <w:pStyle w:val="BodyText"/>
      </w:pPr>
      <w:r>
        <w:t xml:space="preserve">Our main contributions are as follows:</w:t>
      </w:r>
    </w:p>
    <w:p>
      <w:pPr>
        <w:pStyle w:val="BodyText"/>
      </w:pPr>
      <w:r>
        <w:rPr>
          <w:bCs/>
          <w:b/>
        </w:rPr>
        <w:t xml:space="preserve">Architecture convergence.</w:t>
      </w:r>
      <w:r>
        <w:t xml:space="preserve"> </w:t>
      </w:r>
      <w:r>
        <w:t xml:space="preserve">We demonstrate that QLoRA fine-tuning effectively eliminates performance differences between model architectures. While zero-shot exact match rates range from 61.6% (LLaMA-3.2-3B) to 73.6% (Qwen2.5-7B), fine-tuned models converge to a narrow band of 85.8–88.2%, with the gap between the weakest and strongest zero-shot performers shrinking from 12.0% to just 0.4%.</w:t>
      </w:r>
    </w:p>
    <w:p>
      <w:pPr>
        <w:pStyle w:val="BodyText"/>
      </w:pPr>
      <w:r>
        <w:rPr>
          <w:bCs/>
          <w:b/>
        </w:rPr>
        <w:t xml:space="preserve">Diminishing returns from scale.</w:t>
      </w:r>
      <w:r>
        <w:t xml:space="preserve"> </w:t>
      </w:r>
      <w:r>
        <w:t xml:space="preserve">Increasing model size from 1.5B to 7B parameters yields only a 2.4% improvement in exact match after fine-tuning (85.8% vs. 88.2%), suggesting that function calling is a task where small models can perform comparably to larger ones.</w:t>
      </w:r>
    </w:p>
    <w:p>
      <w:pPr>
        <w:pStyle w:val="BodyText"/>
      </w:pPr>
      <w:r>
        <w:rPr>
          <w:bCs/>
          <w:b/>
        </w:rPr>
        <w:t xml:space="preserve">Data efficiency.</w:t>
      </w:r>
      <w:r>
        <w:t xml:space="preserve"> </w:t>
      </w:r>
      <w:r>
        <w:t xml:space="preserve">We show that 3,000 training examples achieve 86.6% exact match, capturing over 90% of the gains obtained from 30,000 examples (89.4%). This finding has significant practical implications for domain-specific function calling deployment.</w:t>
      </w:r>
    </w:p>
    <w:p>
      <w:pPr>
        <w:pStyle w:val="BodyText"/>
      </w:pPr>
      <w:r>
        <w:rPr>
          <w:bCs/>
          <w:b/>
        </w:rPr>
        <w:t xml:space="preserve">Evaluation methodology matters.</w:t>
      </w:r>
      <w:r>
        <w:t xml:space="preserve"> </w:t>
      </w:r>
      <w:r>
        <w:t xml:space="preserve">We identify that training data formatting—specifically, the inclusion of explicit EOS tokens after function calls—and evaluation methodology (first-JSON extraction vs. naive parsing) together account for a 29.2% improvement in measured exact match, larger than any model selection or hyperparameter change.</w:t>
      </w:r>
    </w:p>
    <w:bookmarkEnd w:id="21"/>
    <w:bookmarkStart w:id="25" w:name="related-work"/>
    <w:p>
      <w:pPr>
        <w:pStyle w:val="Heading1"/>
      </w:pPr>
      <w:r>
        <w:t xml:space="preserve">Related Work</w:t>
      </w:r>
    </w:p>
    <w:bookmarkStart w:id="22" w:name="tool-use-in-language-models"/>
    <w:p>
      <w:pPr>
        <w:pStyle w:val="Heading2"/>
      </w:pPr>
      <w:r>
        <w:t xml:space="preserve">Tool Use in Language Models</w:t>
      </w:r>
    </w:p>
    <w:p>
      <w:pPr>
        <w:pStyle w:val="FirstParagraph"/>
      </w:pPr>
      <w:r>
        <w:t xml:space="preserve">The concept of augmenting language models with tool-use capabilities has gained significant attention. Toolformer (Schick et al., 2023) demonstrated that LLMs can learn to use external tools through self-supervised training. Subsequently, several works have explored structured function calling: Gorilla (Patil et al., 2023) proposed a retrieval-augmented approach for API calling, while ToolLLM (Qin et al., 2023) introduced a comprehensive framework for tool learning. The Berkeley Function-Calling Leaderboard (Yan et al., 2024) established standardized benchmarks for evaluating function calling capabilities. Our work complements these efforts by systematically studying the fine-tuning of small models rather than relying on prompting strategies for large models.</w:t>
      </w:r>
    </w:p>
    <w:bookmarkEnd w:id="22"/>
    <w:bookmarkStart w:id="23" w:name="parameter-efficient-fine-tuning"/>
    <w:p>
      <w:pPr>
        <w:pStyle w:val="Heading2"/>
      </w:pPr>
      <w:r>
        <w:t xml:space="preserve">Parameter-Efficient Fine-Tuning</w:t>
      </w:r>
    </w:p>
    <w:p>
      <w:pPr>
        <w:pStyle w:val="FirstParagraph"/>
      </w:pPr>
      <w:r>
        <w:t xml:space="preserve">Low-Rank Adaptation (LoRA; Hu et al., 2022) introduced the idea of training low-rank decomposition matrices to approximate weight updates, significantly reducing the number of trainable parameters. QLoRA (Dettmers et al., 2023) extended this approach by combining LoRA with 4-bit quantization, enabling fine-tuning of large models on consumer hardware. Our work applies QLoRA uniformly across all models, controlling for the fine-tuning method to isolate the effects of model architecture and scale.</w:t>
      </w:r>
    </w:p>
    <w:bookmarkEnd w:id="23"/>
    <w:bookmarkStart w:id="24" w:name="small-language-models"/>
    <w:p>
      <w:pPr>
        <w:pStyle w:val="Heading2"/>
      </w:pPr>
      <w:r>
        <w:t xml:space="preserve">Small Language Models</w:t>
      </w:r>
    </w:p>
    <w:p>
      <w:pPr>
        <w:pStyle w:val="FirstParagraph"/>
      </w:pPr>
      <w:r>
        <w:t xml:space="preserve">The development of capable small language models has accelerated recently. The Qwen2.5 series (Bai et al., 2023) provides models from 0.5B to 72B parameters with strong multilingual capabilities. Meta’s LLaMA 3.2 (Touvron et al., 2023) offers lightweight models optimized for on-device deployment. Microsoft’s Phi series (Abdin et al., 2024) emphasizes data quality over model scale. While individual models have been evaluated on general benchmarks, comparative studies of their function calling capabilities under identical fine-tuning conditions are scarce.</w:t>
      </w:r>
    </w:p>
    <w:bookmarkEnd w:id="24"/>
    <w:bookmarkEnd w:id="25"/>
    <w:bookmarkStart w:id="32" w:name="methodology"/>
    <w:p>
      <w:pPr>
        <w:pStyle w:val="Heading1"/>
      </w:pPr>
      <w:r>
        <w:t xml:space="preserve">Methodology</w:t>
      </w:r>
    </w:p>
    <w:bookmarkStart w:id="26" w:name="task-definition"/>
    <w:p>
      <w:pPr>
        <w:pStyle w:val="Heading2"/>
      </w:pPr>
      <w:r>
        <w:t xml:space="preserve">Task Definition</w:t>
      </w:r>
    </w:p>
    <w:p>
      <w:pPr>
        <w:pStyle w:val="FirstParagraph"/>
      </w:pPr>
      <w:r>
        <w:t xml:space="preserve">We define function calling as the task of generating a structured JSON output given a natural language user query and a set of available function definitions. Formally, given a system prompt</w:t>
      </w:r>
      <w:r>
        <w:t xml:space="preserve"> </w:t>
      </w:r>
      <w:r>
        <w:rPr>
          <w:iCs/>
          <w:i/>
        </w:rPr>
        <w:t xml:space="preserve">S</w:t>
      </w:r>
      <w:r>
        <w:t xml:space="preserve"> </w:t>
      </w:r>
      <w:r>
        <w:t xml:space="preserve">containing function definitions and a user query</w:t>
      </w:r>
      <w:r>
        <w:t xml:space="preserve"> </w:t>
      </w:r>
      <w:r>
        <w:rPr>
          <w:iCs/>
          <w:i/>
        </w:rPr>
        <w:t xml:space="preserve">Q</w:t>
      </w:r>
      <w:r>
        <w:t xml:space="preserve">, the model must generate a JSON object</w:t>
      </w:r>
      <w:r>
        <w:t xml:space="preserve"> </w:t>
      </w:r>
      <w:r>
        <w:rPr>
          <w:iCs/>
          <w:i/>
        </w:rPr>
        <w:t xml:space="preserve">F</w:t>
      </w:r>
      <w:r>
        <w:t xml:space="preserve"> </w:t>
      </w:r>
      <w:r>
        <w:t xml:space="preserve">= {</w:t>
      </w:r>
      <w:r>
        <w:t xml:space="preserve">“</w:t>
      </w:r>
      <w:r>
        <w:t xml:space="preserve">name</w:t>
      </w:r>
      <w:r>
        <w:t xml:space="preserve">”</w:t>
      </w:r>
      <w:r>
        <w:t xml:space="preserve">:</w:t>
      </w:r>
      <w:r>
        <w:t xml:space="preserve"> </w:t>
      </w:r>
      <w:r>
        <w:rPr>
          <w:iCs/>
          <w:i/>
        </w:rPr>
        <w:t xml:space="preserve">f</w:t>
      </w:r>
      <w:r>
        <w:t xml:space="preserve">,</w:t>
      </w:r>
      <w:r>
        <w:t xml:space="preserve"> </w:t>
      </w:r>
      <w:r>
        <w:t xml:space="preserve">“</w:t>
      </w:r>
      <w:r>
        <w:t xml:space="preserve">arguments</w:t>
      </w:r>
      <w:r>
        <w:t xml:space="preserve">”</w:t>
      </w:r>
      <w:r>
        <w:t xml:space="preserve">: {</w:t>
      </w:r>
      <w:r>
        <w:rPr>
          <w:iCs/>
          <w:i/>
        </w:rPr>
        <w:t xml:space="preserve">k₁</w:t>
      </w:r>
      <w:r>
        <w:t xml:space="preserve">:</w:t>
      </w:r>
      <w:r>
        <w:t xml:space="preserve"> </w:t>
      </w:r>
      <w:r>
        <w:rPr>
          <w:iCs/>
          <w:i/>
        </w:rPr>
        <w:t xml:space="preserve">v₁</w:t>
      </w:r>
      <w:r>
        <w:t xml:space="preserve">, …,</w:t>
      </w:r>
      <w:r>
        <w:t xml:space="preserve"> </w:t>
      </w:r>
      <w:r>
        <w:rPr>
          <w:iCs/>
          <w:i/>
        </w:rPr>
        <w:t xml:space="preserve">kₙ</w:t>
      </w:r>
      <w:r>
        <w:t xml:space="preserve">:</w:t>
      </w:r>
      <w:r>
        <w:t xml:space="preserve"> </w:t>
      </w:r>
      <w:r>
        <w:rPr>
          <w:iCs/>
          <w:i/>
        </w:rPr>
        <w:t xml:space="preserve">vₙ</w:t>
      </w:r>
      <w:r>
        <w:t xml:space="preserve">}}, where</w:t>
      </w:r>
      <w:r>
        <w:t xml:space="preserve"> </w:t>
      </w:r>
      <w:r>
        <w:rPr>
          <w:iCs/>
          <w:i/>
        </w:rPr>
        <w:t xml:space="preserve">f</w:t>
      </w:r>
      <w:r>
        <w:t xml:space="preserve"> </w:t>
      </w:r>
      <w:r>
        <w:t xml:space="preserve">is the function name and {(</w:t>
      </w:r>
      <w:r>
        <w:rPr>
          <w:iCs/>
          <w:i/>
        </w:rPr>
        <w:t xml:space="preserve">kᵢ</w:t>
      </w:r>
      <w:r>
        <w:t xml:space="preserve">,</w:t>
      </w:r>
      <w:r>
        <w:t xml:space="preserve"> </w:t>
      </w:r>
      <w:r>
        <w:rPr>
          <w:iCs/>
          <w:i/>
        </w:rPr>
        <w:t xml:space="preserve">vᵢ</w:t>
      </w:r>
      <w:r>
        <w:t xml:space="preserve">)} are argument key-value pairs.</w:t>
      </w:r>
    </w:p>
    <w:bookmarkEnd w:id="26"/>
    <w:bookmarkStart w:id="27" w:name="dataset"/>
    <w:p>
      <w:pPr>
        <w:pStyle w:val="Heading2"/>
      </w:pPr>
      <w:r>
        <w:t xml:space="preserve">Dataset</w:t>
      </w:r>
    </w:p>
    <w:p>
      <w:pPr>
        <w:pStyle w:val="FirstParagraph"/>
      </w:pPr>
      <w:r>
        <w:t xml:space="preserve">We use the Glaive Function Calling v2 dataset (glaiveai/glaive-function-calling-v2), a synthetic dataset containing 112,960 conversation samples generated by GPT-4. Each sample includes a system prompt with function definitions, a multi-turn conversation, and one or more function calls. We parse the dataset to extract samples containing the</w:t>
      </w:r>
      <w:r>
        <w:t xml:space="preserve"> </w:t>
      </w:r>
      <w:r>
        <w:rPr>
          <w:rStyle w:val="VerbatimChar"/>
        </w:rPr>
        <w:t xml:space="preserve">&lt;functioncall&gt;</w:t>
      </w:r>
      <w:r>
        <w:t xml:space="preserve"> </w:t>
      </w:r>
      <w:r>
        <w:t xml:space="preserve">tag, yielding 56,796 valid function calling examples. The dataset covers a diverse set of functions including mathematical calculations, API queries, text manipulation, and data retrieval.</w:t>
      </w:r>
    </w:p>
    <w:bookmarkEnd w:id="27"/>
    <w:bookmarkStart w:id="28" w:name="models"/>
    <w:p>
      <w:pPr>
        <w:pStyle w:val="Heading2"/>
      </w:pPr>
      <w:r>
        <w:t xml:space="preserve">Models</w:t>
      </w:r>
    </w:p>
    <w:p>
      <w:pPr>
        <w:pStyle w:val="FirstParagraph"/>
      </w:pPr>
      <w:r>
        <w:t xml:space="preserve">We evaluate five instruction-tuned models spanning three architectural families: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Params</w:t>
            </w:r>
          </w:p>
        </w:tc>
        <w:tc>
          <w:tcPr/>
          <w:p>
            <w:pPr>
              <w:pStyle w:val="Compact"/>
              <w:jc w:val="left"/>
            </w:pPr>
            <w:r>
              <w:t xml:space="preserve">Family</w:t>
            </w:r>
          </w:p>
        </w:tc>
        <w:tc>
          <w:tcPr/>
          <w:p>
            <w:pPr>
              <w:pStyle w:val="Compact"/>
              <w:jc w:val="left"/>
            </w:pPr>
            <w:r>
              <w:t xml:space="preserve">Context</w:t>
            </w:r>
          </w:p>
        </w:tc>
        <w:tc>
          <w:tcPr/>
          <w:p>
            <w:pPr>
              <w:pStyle w:val="Compact"/>
              <w:jc w:val="left"/>
            </w:pPr>
            <w:r>
              <w:t xml:space="preserve">LoRA Targets</w:t>
            </w:r>
          </w:p>
        </w:tc>
      </w:tr>
      <w:tr>
        <w:tc>
          <w:tcPr/>
          <w:p>
            <w:pPr>
              <w:pStyle w:val="Compact"/>
              <w:jc w:val="left"/>
            </w:pPr>
            <w:r>
              <w:t xml:space="preserve">Qwen2.5-1.5B-Instruct</w:t>
            </w:r>
          </w:p>
        </w:tc>
        <w:tc>
          <w:tcPr/>
          <w:p>
            <w:pPr>
              <w:pStyle w:val="Compact"/>
              <w:jc w:val="left"/>
            </w:pPr>
            <w:r>
              <w:t xml:space="preserve">1.5B</w:t>
            </w:r>
          </w:p>
        </w:tc>
        <w:tc>
          <w:tcPr/>
          <w:p>
            <w:pPr>
              <w:pStyle w:val="Compact"/>
              <w:jc w:val="left"/>
            </w:pPr>
            <w:r>
              <w:t xml:space="preserve">Qwen</w:t>
            </w:r>
          </w:p>
        </w:tc>
        <w:tc>
          <w:tcPr/>
          <w:p>
            <w:pPr>
              <w:pStyle w:val="Compact"/>
              <w:jc w:val="left"/>
            </w:pPr>
            <w:r>
              <w:t xml:space="preserve">32K</w:t>
            </w:r>
          </w:p>
        </w:tc>
        <w:tc>
          <w:tcPr/>
          <w:p>
            <w:pPr>
              <w:pStyle w:val="Compact"/>
              <w:jc w:val="left"/>
            </w:pPr>
            <w:r>
              <w:t xml:space="preserve">Standard</w:t>
            </w:r>
          </w:p>
        </w:tc>
      </w:tr>
      <w:tr>
        <w:tc>
          <w:tcPr/>
          <w:p>
            <w:pPr>
              <w:pStyle w:val="Compact"/>
              <w:jc w:val="left"/>
            </w:pPr>
            <w:r>
              <w:t xml:space="preserve">Qwen2.5-3B-Instruct</w:t>
            </w:r>
          </w:p>
        </w:tc>
        <w:tc>
          <w:tcPr/>
          <w:p>
            <w:pPr>
              <w:pStyle w:val="Compact"/>
              <w:jc w:val="left"/>
            </w:pPr>
            <w:r>
              <w:t xml:space="preserve">3B</w:t>
            </w:r>
          </w:p>
        </w:tc>
        <w:tc>
          <w:tcPr/>
          <w:p>
            <w:pPr>
              <w:pStyle w:val="Compact"/>
              <w:jc w:val="left"/>
            </w:pPr>
            <w:r>
              <w:t xml:space="preserve">Qwen</w:t>
            </w:r>
          </w:p>
        </w:tc>
        <w:tc>
          <w:tcPr/>
          <w:p>
            <w:pPr>
              <w:pStyle w:val="Compact"/>
              <w:jc w:val="left"/>
            </w:pPr>
            <w:r>
              <w:t xml:space="preserve">32K</w:t>
            </w:r>
          </w:p>
        </w:tc>
        <w:tc>
          <w:tcPr/>
          <w:p>
            <w:pPr>
              <w:pStyle w:val="Compact"/>
              <w:jc w:val="left"/>
            </w:pPr>
            <w:r>
              <w:t xml:space="preserve">Standard</w:t>
            </w:r>
          </w:p>
        </w:tc>
      </w:tr>
      <w:tr>
        <w:tc>
          <w:tcPr/>
          <w:p>
            <w:pPr>
              <w:pStyle w:val="Compact"/>
              <w:jc w:val="left"/>
            </w:pPr>
            <w:r>
              <w:t xml:space="preserve">Qwen2.5-7B-Instruct</w:t>
            </w:r>
          </w:p>
        </w:tc>
        <w:tc>
          <w:tcPr/>
          <w:p>
            <w:pPr>
              <w:pStyle w:val="Compact"/>
              <w:jc w:val="left"/>
            </w:pPr>
            <w:r>
              <w:t xml:space="preserve">7B</w:t>
            </w:r>
          </w:p>
        </w:tc>
        <w:tc>
          <w:tcPr/>
          <w:p>
            <w:pPr>
              <w:pStyle w:val="Compact"/>
              <w:jc w:val="left"/>
            </w:pPr>
            <w:r>
              <w:t xml:space="preserve">Qwen</w:t>
            </w:r>
          </w:p>
        </w:tc>
        <w:tc>
          <w:tcPr/>
          <w:p>
            <w:pPr>
              <w:pStyle w:val="Compact"/>
              <w:jc w:val="left"/>
            </w:pPr>
            <w:r>
              <w:t xml:space="preserve">32K</w:t>
            </w:r>
          </w:p>
        </w:tc>
        <w:tc>
          <w:tcPr/>
          <w:p>
            <w:pPr>
              <w:pStyle w:val="Compact"/>
              <w:jc w:val="left"/>
            </w:pPr>
            <w:r>
              <w:t xml:space="preserve">Standard</w:t>
            </w:r>
          </w:p>
        </w:tc>
      </w:tr>
      <w:tr>
        <w:tc>
          <w:tcPr/>
          <w:p>
            <w:pPr>
              <w:pStyle w:val="Compact"/>
              <w:jc w:val="left"/>
            </w:pPr>
            <w:r>
              <w:t xml:space="preserve">LLaMA-3.2-3B-Instruct</w:t>
            </w:r>
          </w:p>
        </w:tc>
        <w:tc>
          <w:tcPr/>
          <w:p>
            <w:pPr>
              <w:pStyle w:val="Compact"/>
              <w:jc w:val="left"/>
            </w:pPr>
            <w:r>
              <w:t xml:space="preserve">3B</w:t>
            </w:r>
          </w:p>
        </w:tc>
        <w:tc>
          <w:tcPr/>
          <w:p>
            <w:pPr>
              <w:pStyle w:val="Compact"/>
              <w:jc w:val="left"/>
            </w:pPr>
            <w:r>
              <w:t xml:space="preserve">LLaMA</w:t>
            </w:r>
          </w:p>
        </w:tc>
        <w:tc>
          <w:tcPr/>
          <w:p>
            <w:pPr>
              <w:pStyle w:val="Compact"/>
              <w:jc w:val="left"/>
            </w:pPr>
            <w:r>
              <w:t xml:space="preserve">128K</w:t>
            </w:r>
          </w:p>
        </w:tc>
        <w:tc>
          <w:tcPr/>
          <w:p>
            <w:pPr>
              <w:pStyle w:val="Compact"/>
              <w:jc w:val="left"/>
            </w:pPr>
            <w:r>
              <w:t xml:space="preserve">Standard</w:t>
            </w:r>
          </w:p>
        </w:tc>
      </w:tr>
      <w:tr>
        <w:tc>
          <w:tcPr/>
          <w:p>
            <w:pPr>
              <w:pStyle w:val="Compact"/>
              <w:jc w:val="left"/>
            </w:pPr>
            <w:r>
              <w:t xml:space="preserve">Phi-3.5-mini-instruct</w:t>
            </w:r>
          </w:p>
        </w:tc>
        <w:tc>
          <w:tcPr/>
          <w:p>
            <w:pPr>
              <w:pStyle w:val="Compact"/>
              <w:jc w:val="left"/>
            </w:pPr>
            <w:r>
              <w:t xml:space="preserve">3.8B</w:t>
            </w:r>
          </w:p>
        </w:tc>
        <w:tc>
          <w:tcPr/>
          <w:p>
            <w:pPr>
              <w:pStyle w:val="Compact"/>
              <w:jc w:val="left"/>
            </w:pPr>
            <w:r>
              <w:t xml:space="preserve">Phi</w:t>
            </w:r>
          </w:p>
        </w:tc>
        <w:tc>
          <w:tcPr/>
          <w:p>
            <w:pPr>
              <w:pStyle w:val="Compact"/>
              <w:jc w:val="left"/>
            </w:pPr>
            <w:r>
              <w:t xml:space="preserve">128K</w:t>
            </w:r>
          </w:p>
        </w:tc>
        <w:tc>
          <w:tcPr/>
          <w:p>
            <w:pPr>
              <w:pStyle w:val="Compact"/>
              <w:jc w:val="left"/>
            </w:pPr>
            <w:r>
              <w:t xml:space="preserve">Phi-specific</w:t>
            </w:r>
          </w:p>
        </w:tc>
      </w:tr>
    </w:tbl>
    <w:p>
      <w:pPr>
        <w:pStyle w:val="BodyText"/>
      </w:pPr>
      <w:r>
        <w:t xml:space="preserve">Table 1: Models evaluated in this study.</w:t>
      </w:r>
    </w:p>
    <w:bookmarkEnd w:id="28"/>
    <w:bookmarkStart w:id="29" w:name="fine-tuning-configuration"/>
    <w:p>
      <w:pPr>
        <w:pStyle w:val="Heading2"/>
      </w:pPr>
      <w:r>
        <w:t xml:space="preserve">Fine-Tuning Configuration</w:t>
      </w:r>
    </w:p>
    <w:p>
      <w:pPr>
        <w:pStyle w:val="FirstParagraph"/>
      </w:pPr>
      <w:r>
        <w:t xml:space="preserve">All models are fine-tuned using QLoRA with 4-bit NF4 quantization and double quantization. We apply LoRA adapters (rank=16, alpha=32, dropout=0.05) to all attention and MLP projection layers. For Qwen and LLaMA models, the target modules are q_proj, k_proj, v_proj, o_proj, gate_proj, up_proj, and down_proj. For Phi-3.5, the fused projection layers require different targets: qkv_proj, o_proj, gate_up_proj, and down_proj.</w:t>
      </w:r>
    </w:p>
    <w:p>
      <w:pPr>
        <w:pStyle w:val="BodyText"/>
      </w:pPr>
      <w:r>
        <w:t xml:space="preserve">Training uses the Paged AdamW 8-bit optimizer with a cosine learning rate schedule (peak lr=2×10⁻⁴, warmup=50 steps). The effective batch size is 16 (batch size 4 with 4 gradient accumulation steps). All sequences are truncated to 512 tokens. Training runs for 3 epochs on a single NVIDIA L4 GPU (24GB).</w:t>
      </w:r>
    </w:p>
    <w:bookmarkEnd w:id="29"/>
    <w:bookmarkStart w:id="30" w:name="training-data-formatting"/>
    <w:p>
      <w:pPr>
        <w:pStyle w:val="Heading2"/>
      </w:pPr>
      <w:r>
        <w:t xml:space="preserve">Training Data Formatting</w:t>
      </w:r>
    </w:p>
    <w:p>
      <w:pPr>
        <w:pStyle w:val="FirstParagraph"/>
      </w:pPr>
      <w:r>
        <w:t xml:space="preserve">A critical detail of our methodology is the explicit inclusion of the model-specific EOS token at the end of each function call in the training data. Our initial experiments without this token resulted in a</w:t>
      </w:r>
      <w:r>
        <w:t xml:space="preserve"> </w:t>
      </w:r>
      <w:r>
        <w:t xml:space="preserve">“</w:t>
      </w:r>
      <w:r>
        <w:t xml:space="preserve">repetition generation</w:t>
      </w:r>
      <w:r>
        <w:t xml:space="preserve">”</w:t>
      </w:r>
      <w:r>
        <w:t xml:space="preserve"> </w:t>
      </w:r>
      <w:r>
        <w:t xml:space="preserve">problem where models would generate a correct function call followed by additional unwanted JSON objects. The inclusion of the EOS token teaches the model to produce exactly one function call and stop, improving exact match from 58.6% to 87.8% (Section 5.4).</w:t>
      </w:r>
    </w:p>
    <w:bookmarkEnd w:id="30"/>
    <w:bookmarkStart w:id="31" w:name="evaluation-metrics"/>
    <w:p>
      <w:pPr>
        <w:pStyle w:val="Heading2"/>
      </w:pPr>
      <w:r>
        <w:t xml:space="preserve">Evaluation Metrics</w:t>
      </w:r>
    </w:p>
    <w:p>
      <w:pPr>
        <w:pStyle w:val="FirstParagraph"/>
      </w:pPr>
      <w:r>
        <w:t xml:space="preserve">We evaluate models on five hierarchical metrics, each building on the previous:</w:t>
      </w:r>
    </w:p>
    <w:p>
      <w:pPr>
        <w:pStyle w:val="BodyText"/>
      </w:pPr>
      <w:r>
        <w:rPr>
          <w:bCs/>
          <w:b/>
        </w:rPr>
        <w:t xml:space="preserve">JSON Valid Rate:</w:t>
      </w:r>
      <w:r>
        <w:t xml:space="preserve"> </w:t>
      </w:r>
      <w:r>
        <w:t xml:space="preserve">Whether the model output contains a parseable JSON object. We use a first-object extraction strategy that handles nested braces and ignores trailing text.</w:t>
      </w:r>
    </w:p>
    <w:p>
      <w:pPr>
        <w:pStyle w:val="BodyText"/>
      </w:pPr>
      <w:r>
        <w:rPr>
          <w:bCs/>
          <w:b/>
        </w:rPr>
        <w:t xml:space="preserve">Function Name Accuracy:</w:t>
      </w:r>
      <w:r>
        <w:t xml:space="preserve"> </w:t>
      </w:r>
      <w:r>
        <w:t xml:space="preserve">Whether the predicted function name exactly matches the ground truth.</w:t>
      </w:r>
    </w:p>
    <w:p>
      <w:pPr>
        <w:pStyle w:val="BodyText"/>
      </w:pPr>
      <w:r>
        <w:rPr>
          <w:bCs/>
          <w:b/>
        </w:rPr>
        <w:t xml:space="preserve">Argument Names Accuracy:</w:t>
      </w:r>
      <w:r>
        <w:t xml:space="preserve"> </w:t>
      </w:r>
      <w:r>
        <w:t xml:space="preserve">Whether the predicted argument keys exactly match the ground truth keys (set equality).</w:t>
      </w:r>
    </w:p>
    <w:p>
      <w:pPr>
        <w:pStyle w:val="BodyText"/>
      </w:pPr>
      <w:r>
        <w:rPr>
          <w:bCs/>
          <w:b/>
        </w:rPr>
        <w:t xml:space="preserve">Argument Values Accuracy:</w:t>
      </w:r>
      <w:r>
        <w:t xml:space="preserve"> </w:t>
      </w:r>
      <w:r>
        <w:t xml:space="preserve">Whether all argument values match the ground truth (case-insensitive string comparison).</w:t>
      </w:r>
    </w:p>
    <w:p>
      <w:pPr>
        <w:pStyle w:val="BodyText"/>
      </w:pPr>
      <w:r>
        <w:rPr>
          <w:bCs/>
          <w:b/>
        </w:rPr>
        <w:t xml:space="preserve">Exact Match Rate:</w:t>
      </w:r>
      <w:r>
        <w:t xml:space="preserve"> </w:t>
      </w:r>
      <w:r>
        <w:t xml:space="preserve">Whether the function name is correct AND all argument values match. This is our primary metric.</w:t>
      </w:r>
    </w:p>
    <w:bookmarkEnd w:id="31"/>
    <w:bookmarkEnd w:id="32"/>
    <w:bookmarkStart w:id="35" w:name="experiments"/>
    <w:p>
      <w:pPr>
        <w:pStyle w:val="Heading1"/>
      </w:pPr>
      <w:r>
        <w:t xml:space="preserve">Experiments</w:t>
      </w:r>
    </w:p>
    <w:bookmarkStart w:id="33" w:name="multi-model-comparison"/>
    <w:p>
      <w:pPr>
        <w:pStyle w:val="Heading2"/>
      </w:pPr>
      <w:r>
        <w:t xml:space="preserve">Multi-Model Comparison</w:t>
      </w:r>
    </w:p>
    <w:p>
      <w:pPr>
        <w:pStyle w:val="FirstParagraph"/>
      </w:pPr>
      <w:r>
        <w:t xml:space="preserve">We fine-tune all five models using identical configurations: 10,000 training samples, LoRA rank 16, 3 epochs. Each model is evaluated on the same held-out test set of 500 samples. We report both zero-shot (base model without fine-tuning) and fine-tuned results.</w:t>
      </w:r>
    </w:p>
    <w:bookmarkEnd w:id="33"/>
    <w:bookmarkStart w:id="34" w:name="data-scaling-study"/>
    <w:p>
      <w:pPr>
        <w:pStyle w:val="Heading2"/>
      </w:pPr>
      <w:r>
        <w:t xml:space="preserve">Data Scaling Study</w:t>
      </w:r>
    </w:p>
    <w:p>
      <w:pPr>
        <w:pStyle w:val="FirstParagraph"/>
      </w:pPr>
      <w:r>
        <w:t xml:space="preserve">Using Qwen2.5-3B as the representative model, we investigate the relationship between training data size and performance. We train with 500, 1,000, 3,000, 10,000, and 30,000 samples while keeping all other hyperparameters fixed.</w:t>
      </w:r>
    </w:p>
    <w:bookmarkEnd w:id="34"/>
    <w:bookmarkEnd w:id="35"/>
    <w:bookmarkStart w:id="40" w:name="results-and-analysis"/>
    <w:p>
      <w:pPr>
        <w:pStyle w:val="Heading1"/>
      </w:pPr>
      <w:r>
        <w:t xml:space="preserve">Results and Analysis</w:t>
      </w:r>
    </w:p>
    <w:bookmarkStart w:id="36" w:name="multi-model-comparison-1"/>
    <w:p>
      <w:pPr>
        <w:pStyle w:val="Heading2"/>
      </w:pPr>
      <w:r>
        <w:t xml:space="preserve">Multi-Model Comparison</w:t>
      </w:r>
    </w:p>
    <w:tbl>
      <w:tblPr>
        <w:tblStyle w:val="Table"/>
        <w:tblW w:type="pct" w:w="5000"/>
        <w:tblLook w:firstRow="1" w:lastRow="0" w:firstColumn="0" w:lastColumn="0" w:noHBand="0" w:noVBand="0" w:val="0020"/>
        <w:jc w:val="start"/>
      </w:tblPr>
      <w:tblGrid>
        <w:gridCol w:w="908"/>
        <w:gridCol w:w="1428"/>
        <w:gridCol w:w="1038"/>
        <w:gridCol w:w="1038"/>
        <w:gridCol w:w="1038"/>
        <w:gridCol w:w="1038"/>
        <w:gridCol w:w="779"/>
        <w:gridCol w:w="649"/>
      </w:tblGrid>
      <w:tr>
        <w:trPr>
          <w:tblHeader w:val="true"/>
        </w:trPr>
        <w:tc>
          <w:tcPr/>
          <w:p>
            <w:pPr>
              <w:pStyle w:val="Compact"/>
              <w:jc w:val="left"/>
            </w:pPr>
            <w:r>
              <w:t xml:space="preserve">Model</w:t>
            </w:r>
          </w:p>
        </w:tc>
        <w:tc>
          <w:tcPr/>
          <w:p>
            <w:pPr>
              <w:pStyle w:val="Compact"/>
              <w:jc w:val="left"/>
            </w:pPr>
            <w:r>
              <w:t xml:space="preserve">Condition</w:t>
            </w:r>
          </w:p>
        </w:tc>
        <w:tc>
          <w:tcPr/>
          <w:p>
            <w:pPr>
              <w:pStyle w:val="Compact"/>
              <w:jc w:val="left"/>
            </w:pPr>
            <w:r>
              <w:t xml:space="preserve">JSON %</w:t>
            </w:r>
          </w:p>
        </w:tc>
        <w:tc>
          <w:tcPr/>
          <w:p>
            <w:pPr>
              <w:pStyle w:val="Compact"/>
              <w:jc w:val="left"/>
            </w:pPr>
            <w:r>
              <w:t xml:space="preserve">Name %</w:t>
            </w:r>
          </w:p>
        </w:tc>
        <w:tc>
          <w:tcPr/>
          <w:p>
            <w:pPr>
              <w:pStyle w:val="Compact"/>
              <w:jc w:val="left"/>
            </w:pPr>
            <w:r>
              <w:t xml:space="preserve">ArgN %</w:t>
            </w:r>
          </w:p>
        </w:tc>
        <w:tc>
          <w:tcPr/>
          <w:p>
            <w:pPr>
              <w:pStyle w:val="Compact"/>
              <w:jc w:val="left"/>
            </w:pPr>
            <w:r>
              <w:t xml:space="preserve">ArgV %</w:t>
            </w:r>
          </w:p>
        </w:tc>
        <w:tc>
          <w:tcPr/>
          <w:p>
            <w:pPr>
              <w:pStyle w:val="Compact"/>
              <w:jc w:val="left"/>
            </w:pPr>
            <w:r>
              <w:t xml:space="preserve">EM %</w:t>
            </w:r>
          </w:p>
        </w:tc>
        <w:tc>
          <w:tcPr/>
          <w:p>
            <w:pPr>
              <w:pStyle w:val="Compact"/>
              <w:jc w:val="left"/>
            </w:pPr>
            <w:r>
              <w:t xml:space="preserve">ΔEM</w:t>
            </w:r>
          </w:p>
        </w:tc>
      </w:tr>
      <w:tr>
        <w:tc>
          <w:tcPr/>
          <w:p>
            <w:pPr>
              <w:pStyle w:val="Compact"/>
              <w:jc w:val="left"/>
            </w:pPr>
            <w:r>
              <w:t xml:space="preserve">Qwen2.5-1.5B</w:t>
            </w:r>
          </w:p>
        </w:tc>
        <w:tc>
          <w:tcPr/>
          <w:p>
            <w:pPr>
              <w:pStyle w:val="Compact"/>
              <w:jc w:val="left"/>
            </w:pPr>
            <w:r>
              <w:t xml:space="preserve">Zero-shot</w:t>
            </w:r>
          </w:p>
        </w:tc>
        <w:tc>
          <w:tcPr/>
          <w:p>
            <w:pPr>
              <w:pStyle w:val="Compact"/>
              <w:jc w:val="left"/>
            </w:pPr>
            <w:r>
              <w:t xml:space="preserve">93.4</w:t>
            </w:r>
          </w:p>
        </w:tc>
        <w:tc>
          <w:tcPr/>
          <w:p>
            <w:pPr>
              <w:pStyle w:val="Compact"/>
              <w:jc w:val="left"/>
            </w:pPr>
            <w:r>
              <w:t xml:space="preserve">93.4</w:t>
            </w:r>
          </w:p>
        </w:tc>
        <w:tc>
          <w:tcPr/>
          <w:p>
            <w:pPr>
              <w:pStyle w:val="Compact"/>
              <w:jc w:val="left"/>
            </w:pPr>
            <w:r>
              <w:t xml:space="preserve">88.6</w:t>
            </w:r>
          </w:p>
        </w:tc>
        <w:tc>
          <w:tcPr/>
          <w:p>
            <w:pPr>
              <w:pStyle w:val="Compact"/>
              <w:jc w:val="left"/>
            </w:pPr>
            <w:r>
              <w:t xml:space="preserve">71.4</w:t>
            </w:r>
          </w:p>
        </w:tc>
        <w:tc>
          <w:tcPr/>
          <w:p>
            <w:pPr>
              <w:pStyle w:val="Compact"/>
              <w:jc w:val="left"/>
            </w:pPr>
            <w:r>
              <w:t xml:space="preserve">71.4</w:t>
            </w:r>
          </w:p>
        </w:tc>
        <w:tc>
          <w:tcPr/>
          <w:p>
            <w:pPr>
              <w:pStyle w:val="Compact"/>
              <w:jc w:val="left"/>
            </w:pPr>
            <w:r>
              <w:t xml:space="preserve">—</w:t>
            </w:r>
          </w:p>
        </w:tc>
      </w:tr>
      <w:tr>
        <w:tc>
          <w:tcPr/>
          <w:p>
            <w:pPr>
              <w:pStyle w:val="Compact"/>
              <w:jc w:val="left"/>
            </w:pPr>
            <w:r>
              <w:t xml:space="preserve">Qwen2.5-1.5B</w:t>
            </w:r>
          </w:p>
        </w:tc>
        <w:tc>
          <w:tcPr/>
          <w:p>
            <w:pPr>
              <w:pStyle w:val="Compact"/>
              <w:jc w:val="left"/>
            </w:pPr>
            <w:r>
              <w:rPr>
                <w:bCs/>
                <w:b/>
              </w:rPr>
              <w:t xml:space="preserve">Fine-tuned</w:t>
            </w:r>
          </w:p>
        </w:tc>
        <w:tc>
          <w:tcPr/>
          <w:p>
            <w:pPr>
              <w:pStyle w:val="Compact"/>
              <w:jc w:val="left"/>
            </w:pPr>
            <w:r>
              <w:rPr>
                <w:bCs/>
                <w:b/>
              </w:rPr>
              <w:t xml:space="preserve">100.0</w:t>
            </w:r>
          </w:p>
        </w:tc>
        <w:tc>
          <w:tcPr/>
          <w:p>
            <w:pPr>
              <w:pStyle w:val="Compact"/>
              <w:jc w:val="left"/>
            </w:pPr>
            <w:r>
              <w:rPr>
                <w:bCs/>
                <w:b/>
              </w:rPr>
              <w:t xml:space="preserve">100.0</w:t>
            </w:r>
          </w:p>
        </w:tc>
        <w:tc>
          <w:tcPr/>
          <w:p>
            <w:pPr>
              <w:pStyle w:val="Compact"/>
              <w:jc w:val="left"/>
            </w:pPr>
            <w:r>
              <w:rPr>
                <w:bCs/>
                <w:b/>
              </w:rPr>
              <w:t xml:space="preserve">96.8</w:t>
            </w:r>
          </w:p>
        </w:tc>
        <w:tc>
          <w:tcPr/>
          <w:p>
            <w:pPr>
              <w:pStyle w:val="Compact"/>
              <w:jc w:val="left"/>
            </w:pPr>
            <w:r>
              <w:rPr>
                <w:bCs/>
                <w:b/>
              </w:rPr>
              <w:t xml:space="preserve">85.8</w:t>
            </w:r>
          </w:p>
        </w:tc>
        <w:tc>
          <w:tcPr/>
          <w:p>
            <w:pPr>
              <w:pStyle w:val="Compact"/>
              <w:jc w:val="left"/>
            </w:pPr>
            <w:r>
              <w:rPr>
                <w:bCs/>
                <w:b/>
              </w:rPr>
              <w:t xml:space="preserve">85.8</w:t>
            </w:r>
          </w:p>
        </w:tc>
        <w:tc>
          <w:tcPr/>
          <w:p>
            <w:pPr>
              <w:pStyle w:val="Compact"/>
              <w:jc w:val="left"/>
            </w:pPr>
            <w:r>
              <w:t xml:space="preserve">+14.4</w:t>
            </w:r>
          </w:p>
        </w:tc>
      </w:tr>
      <w:tr>
        <w:tc>
          <w:tcPr/>
          <w:p>
            <w:pPr>
              <w:pStyle w:val="Compact"/>
              <w:jc w:val="left"/>
            </w:pPr>
            <w:r>
              <w:t xml:space="preserve">Qwen2.5-3B</w:t>
            </w:r>
          </w:p>
        </w:tc>
        <w:tc>
          <w:tcPr/>
          <w:p>
            <w:pPr>
              <w:pStyle w:val="Compact"/>
              <w:jc w:val="left"/>
            </w:pPr>
            <w:r>
              <w:t xml:space="preserve">Zero-shot</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96.0</w:t>
            </w:r>
          </w:p>
        </w:tc>
        <w:tc>
          <w:tcPr/>
          <w:p>
            <w:pPr>
              <w:pStyle w:val="Compact"/>
              <w:jc w:val="left"/>
            </w:pPr>
            <w:r>
              <w:t xml:space="preserve">72.2</w:t>
            </w:r>
          </w:p>
        </w:tc>
        <w:tc>
          <w:tcPr/>
          <w:p>
            <w:pPr>
              <w:pStyle w:val="Compact"/>
              <w:jc w:val="left"/>
            </w:pPr>
            <w:r>
              <w:t xml:space="preserve">72.2</w:t>
            </w:r>
          </w:p>
        </w:tc>
        <w:tc>
          <w:tcPr/>
          <w:p>
            <w:pPr>
              <w:pStyle w:val="Compact"/>
              <w:jc w:val="left"/>
            </w:pPr>
            <w:r>
              <w:t xml:space="preserve">—</w:t>
            </w:r>
          </w:p>
        </w:tc>
      </w:tr>
      <w:tr>
        <w:tc>
          <w:tcPr/>
          <w:p>
            <w:pPr>
              <w:pStyle w:val="Compact"/>
              <w:jc w:val="left"/>
            </w:pPr>
            <w:r>
              <w:t xml:space="preserve">Qwen2.5-3B</w:t>
            </w:r>
          </w:p>
        </w:tc>
        <w:tc>
          <w:tcPr/>
          <w:p>
            <w:pPr>
              <w:pStyle w:val="Compact"/>
              <w:jc w:val="left"/>
            </w:pPr>
            <w:r>
              <w:rPr>
                <w:bCs/>
                <w:b/>
              </w:rPr>
              <w:t xml:space="preserve">Fine-tuned</w:t>
            </w:r>
          </w:p>
        </w:tc>
        <w:tc>
          <w:tcPr/>
          <w:p>
            <w:pPr>
              <w:pStyle w:val="Compact"/>
              <w:jc w:val="left"/>
            </w:pPr>
            <w:r>
              <w:rPr>
                <w:bCs/>
                <w:b/>
              </w:rPr>
              <w:t xml:space="preserve">99.8</w:t>
            </w:r>
          </w:p>
        </w:tc>
        <w:tc>
          <w:tcPr/>
          <w:p>
            <w:pPr>
              <w:pStyle w:val="Compact"/>
              <w:jc w:val="left"/>
            </w:pPr>
            <w:r>
              <w:rPr>
                <w:bCs/>
                <w:b/>
              </w:rPr>
              <w:t xml:space="preserve">99.8</w:t>
            </w:r>
          </w:p>
        </w:tc>
        <w:tc>
          <w:tcPr/>
          <w:p>
            <w:pPr>
              <w:pStyle w:val="Compact"/>
              <w:jc w:val="left"/>
            </w:pPr>
            <w:r>
              <w:rPr>
                <w:bCs/>
                <w:b/>
              </w:rPr>
              <w:t xml:space="preserve">97.6</w:t>
            </w:r>
          </w:p>
        </w:tc>
        <w:tc>
          <w:tcPr/>
          <w:p>
            <w:pPr>
              <w:pStyle w:val="Compact"/>
              <w:jc w:val="left"/>
            </w:pPr>
            <w:r>
              <w:rPr>
                <w:bCs/>
                <w:b/>
              </w:rPr>
              <w:t xml:space="preserve">87.8</w:t>
            </w:r>
          </w:p>
        </w:tc>
        <w:tc>
          <w:tcPr/>
          <w:p>
            <w:pPr>
              <w:pStyle w:val="Compact"/>
              <w:jc w:val="left"/>
            </w:pPr>
            <w:r>
              <w:rPr>
                <w:bCs/>
                <w:b/>
              </w:rPr>
              <w:t xml:space="preserve">87.8</w:t>
            </w:r>
          </w:p>
        </w:tc>
        <w:tc>
          <w:tcPr/>
          <w:p>
            <w:pPr>
              <w:pStyle w:val="Compact"/>
              <w:jc w:val="left"/>
            </w:pPr>
            <w:r>
              <w:t xml:space="preserve">+15.6</w:t>
            </w:r>
          </w:p>
        </w:tc>
      </w:tr>
      <w:tr>
        <w:tc>
          <w:tcPr/>
          <w:p>
            <w:pPr>
              <w:pStyle w:val="Compact"/>
              <w:jc w:val="left"/>
            </w:pPr>
            <w:r>
              <w:t xml:space="preserve">Qwen2.5-7B</w:t>
            </w:r>
          </w:p>
        </w:tc>
        <w:tc>
          <w:tcPr/>
          <w:p>
            <w:pPr>
              <w:pStyle w:val="Compact"/>
              <w:jc w:val="left"/>
            </w:pPr>
            <w:r>
              <w:t xml:space="preserve">Zero-shot</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95.0</w:t>
            </w:r>
          </w:p>
        </w:tc>
        <w:tc>
          <w:tcPr/>
          <w:p>
            <w:pPr>
              <w:pStyle w:val="Compact"/>
              <w:jc w:val="left"/>
            </w:pPr>
            <w:r>
              <w:t xml:space="preserve">73.6</w:t>
            </w:r>
          </w:p>
        </w:tc>
        <w:tc>
          <w:tcPr/>
          <w:p>
            <w:pPr>
              <w:pStyle w:val="Compact"/>
              <w:jc w:val="left"/>
            </w:pPr>
            <w:r>
              <w:t xml:space="preserve">73.6</w:t>
            </w:r>
          </w:p>
        </w:tc>
        <w:tc>
          <w:tcPr/>
          <w:p>
            <w:pPr>
              <w:pStyle w:val="Compact"/>
              <w:jc w:val="left"/>
            </w:pPr>
            <w:r>
              <w:t xml:space="preserve">—</w:t>
            </w:r>
          </w:p>
        </w:tc>
      </w:tr>
      <w:tr>
        <w:tc>
          <w:tcPr/>
          <w:p>
            <w:pPr>
              <w:pStyle w:val="Compact"/>
              <w:jc w:val="left"/>
            </w:pPr>
            <w:r>
              <w:t xml:space="preserve">Qwen2.5-7B</w:t>
            </w:r>
          </w:p>
        </w:tc>
        <w:tc>
          <w:tcPr/>
          <w:p>
            <w:pPr>
              <w:pStyle w:val="Compact"/>
              <w:jc w:val="left"/>
            </w:pPr>
            <w:r>
              <w:rPr>
                <w:bCs/>
                <w:b/>
              </w:rPr>
              <w:t xml:space="preserve">Fine-tuned</w:t>
            </w:r>
          </w:p>
        </w:tc>
        <w:tc>
          <w:tcPr/>
          <w:p>
            <w:pPr>
              <w:pStyle w:val="Compact"/>
              <w:jc w:val="left"/>
            </w:pPr>
            <w:r>
              <w:rPr>
                <w:bCs/>
                <w:b/>
              </w:rPr>
              <w:t xml:space="preserve">100.0</w:t>
            </w:r>
          </w:p>
        </w:tc>
        <w:tc>
          <w:tcPr/>
          <w:p>
            <w:pPr>
              <w:pStyle w:val="Compact"/>
              <w:jc w:val="left"/>
            </w:pPr>
            <w:r>
              <w:rPr>
                <w:bCs/>
                <w:b/>
              </w:rPr>
              <w:t xml:space="preserve">100.0</w:t>
            </w:r>
          </w:p>
        </w:tc>
        <w:tc>
          <w:tcPr/>
          <w:p>
            <w:pPr>
              <w:pStyle w:val="Compact"/>
              <w:jc w:val="left"/>
            </w:pPr>
            <w:r>
              <w:rPr>
                <w:bCs/>
                <w:b/>
              </w:rPr>
              <w:t xml:space="preserve">97.6</w:t>
            </w:r>
          </w:p>
        </w:tc>
        <w:tc>
          <w:tcPr/>
          <w:p>
            <w:pPr>
              <w:pStyle w:val="Compact"/>
              <w:jc w:val="left"/>
            </w:pPr>
            <w:r>
              <w:rPr>
                <w:bCs/>
                <w:b/>
              </w:rPr>
              <w:t xml:space="preserve">88.2</w:t>
            </w:r>
          </w:p>
        </w:tc>
        <w:tc>
          <w:tcPr/>
          <w:p>
            <w:pPr>
              <w:pStyle w:val="Compact"/>
              <w:jc w:val="left"/>
            </w:pPr>
            <w:r>
              <w:rPr>
                <w:bCs/>
                <w:b/>
              </w:rPr>
              <w:t xml:space="preserve">88.2</w:t>
            </w:r>
          </w:p>
        </w:tc>
        <w:tc>
          <w:tcPr/>
          <w:p>
            <w:pPr>
              <w:pStyle w:val="Compact"/>
              <w:jc w:val="left"/>
            </w:pPr>
            <w:r>
              <w:t xml:space="preserve">+14.6</w:t>
            </w:r>
          </w:p>
        </w:tc>
      </w:tr>
      <w:tr>
        <w:tc>
          <w:tcPr/>
          <w:p>
            <w:pPr>
              <w:pStyle w:val="Compact"/>
              <w:jc w:val="left"/>
            </w:pPr>
            <w:r>
              <w:t xml:space="preserve">LLaMA-3.2-3B</w:t>
            </w:r>
          </w:p>
        </w:tc>
        <w:tc>
          <w:tcPr/>
          <w:p>
            <w:pPr>
              <w:pStyle w:val="Compact"/>
              <w:jc w:val="left"/>
            </w:pPr>
            <w:r>
              <w:t xml:space="preserve">Zero-shot</w:t>
            </w:r>
          </w:p>
        </w:tc>
        <w:tc>
          <w:tcPr/>
          <w:p>
            <w:pPr>
              <w:pStyle w:val="Compact"/>
              <w:jc w:val="left"/>
            </w:pPr>
            <w:r>
              <w:t xml:space="preserve">99.4</w:t>
            </w:r>
          </w:p>
        </w:tc>
        <w:tc>
          <w:tcPr/>
          <w:p>
            <w:pPr>
              <w:pStyle w:val="Compact"/>
              <w:jc w:val="left"/>
            </w:pPr>
            <w:r>
              <w:t xml:space="preserve">99.4</w:t>
            </w:r>
          </w:p>
        </w:tc>
        <w:tc>
          <w:tcPr/>
          <w:p>
            <w:pPr>
              <w:pStyle w:val="Compact"/>
              <w:jc w:val="left"/>
            </w:pPr>
            <w:r>
              <w:t xml:space="preserve">95.4</w:t>
            </w:r>
          </w:p>
        </w:tc>
        <w:tc>
          <w:tcPr/>
          <w:p>
            <w:pPr>
              <w:pStyle w:val="Compact"/>
              <w:jc w:val="left"/>
            </w:pPr>
            <w:r>
              <w:t xml:space="preserve">61.6</w:t>
            </w:r>
          </w:p>
        </w:tc>
        <w:tc>
          <w:tcPr/>
          <w:p>
            <w:pPr>
              <w:pStyle w:val="Compact"/>
              <w:jc w:val="left"/>
            </w:pPr>
            <w:r>
              <w:t xml:space="preserve">61.6</w:t>
            </w:r>
          </w:p>
        </w:tc>
        <w:tc>
          <w:tcPr/>
          <w:p>
            <w:pPr>
              <w:pStyle w:val="Compact"/>
              <w:jc w:val="left"/>
            </w:pPr>
            <w:r>
              <w:t xml:space="preserve">—</w:t>
            </w:r>
          </w:p>
        </w:tc>
      </w:tr>
      <w:tr>
        <w:tc>
          <w:tcPr/>
          <w:p>
            <w:pPr>
              <w:pStyle w:val="Compact"/>
              <w:jc w:val="left"/>
            </w:pPr>
            <w:r>
              <w:t xml:space="preserve">LLaMA-3.2-3B</w:t>
            </w:r>
          </w:p>
        </w:tc>
        <w:tc>
          <w:tcPr/>
          <w:p>
            <w:pPr>
              <w:pStyle w:val="Compact"/>
              <w:jc w:val="left"/>
            </w:pPr>
            <w:r>
              <w:rPr>
                <w:bCs/>
                <w:b/>
              </w:rPr>
              <w:t xml:space="preserve">Fine-tuned</w:t>
            </w:r>
          </w:p>
        </w:tc>
        <w:tc>
          <w:tcPr/>
          <w:p>
            <w:pPr>
              <w:pStyle w:val="Compact"/>
              <w:jc w:val="left"/>
            </w:pPr>
            <w:r>
              <w:rPr>
                <w:bCs/>
                <w:b/>
              </w:rPr>
              <w:t xml:space="preserve">100.0</w:t>
            </w:r>
          </w:p>
        </w:tc>
        <w:tc>
          <w:tcPr/>
          <w:p>
            <w:pPr>
              <w:pStyle w:val="Compact"/>
              <w:jc w:val="left"/>
            </w:pPr>
            <w:r>
              <w:rPr>
                <w:bCs/>
                <w:b/>
              </w:rPr>
              <w:t xml:space="preserve">100.0</w:t>
            </w:r>
          </w:p>
        </w:tc>
        <w:tc>
          <w:tcPr/>
          <w:p>
            <w:pPr>
              <w:pStyle w:val="Compact"/>
              <w:jc w:val="left"/>
            </w:pPr>
            <w:r>
              <w:rPr>
                <w:bCs/>
                <w:b/>
              </w:rPr>
              <w:t xml:space="preserve">97.8</w:t>
            </w:r>
          </w:p>
        </w:tc>
        <w:tc>
          <w:tcPr/>
          <w:p>
            <w:pPr>
              <w:pStyle w:val="Compact"/>
              <w:jc w:val="left"/>
            </w:pPr>
            <w:r>
              <w:rPr>
                <w:bCs/>
                <w:b/>
              </w:rPr>
              <w:t xml:space="preserve">87.8</w:t>
            </w:r>
          </w:p>
        </w:tc>
        <w:tc>
          <w:tcPr/>
          <w:p>
            <w:pPr>
              <w:pStyle w:val="Compact"/>
              <w:jc w:val="left"/>
            </w:pPr>
            <w:r>
              <w:rPr>
                <w:bCs/>
                <w:b/>
              </w:rPr>
              <w:t xml:space="preserve">87.8</w:t>
            </w:r>
          </w:p>
        </w:tc>
        <w:tc>
          <w:tcPr/>
          <w:p>
            <w:pPr>
              <w:pStyle w:val="Compact"/>
              <w:jc w:val="left"/>
            </w:pPr>
            <w:r>
              <w:t xml:space="preserve">+26.2</w:t>
            </w:r>
          </w:p>
        </w:tc>
      </w:tr>
      <w:tr>
        <w:tc>
          <w:tcPr/>
          <w:p>
            <w:pPr>
              <w:pStyle w:val="Compact"/>
              <w:jc w:val="left"/>
            </w:pPr>
            <w:r>
              <w:t xml:space="preserve">Phi-3.5-mini</w:t>
            </w:r>
          </w:p>
        </w:tc>
        <w:tc>
          <w:tcPr/>
          <w:p>
            <w:pPr>
              <w:pStyle w:val="Compact"/>
              <w:jc w:val="left"/>
            </w:pPr>
            <w:r>
              <w:t xml:space="preserve">Zero-shot</w:t>
            </w:r>
          </w:p>
        </w:tc>
        <w:tc>
          <w:tcPr/>
          <w:p>
            <w:pPr>
              <w:pStyle w:val="Compact"/>
              <w:jc w:val="left"/>
            </w:pPr>
            <w:r>
              <w:t xml:space="preserve">99.4</w:t>
            </w:r>
          </w:p>
        </w:tc>
        <w:tc>
          <w:tcPr/>
          <w:p>
            <w:pPr>
              <w:pStyle w:val="Compact"/>
              <w:jc w:val="left"/>
            </w:pPr>
            <w:r>
              <w:t xml:space="preserve">99.2</w:t>
            </w:r>
          </w:p>
        </w:tc>
        <w:tc>
          <w:tcPr/>
          <w:p>
            <w:pPr>
              <w:pStyle w:val="Compact"/>
              <w:jc w:val="left"/>
            </w:pPr>
            <w:r>
              <w:t xml:space="preserve">94.2</w:t>
            </w:r>
          </w:p>
        </w:tc>
        <w:tc>
          <w:tcPr/>
          <w:p>
            <w:pPr>
              <w:pStyle w:val="Compact"/>
              <w:jc w:val="left"/>
            </w:pPr>
            <w:r>
              <w:t xml:space="preserve">73.2</w:t>
            </w:r>
          </w:p>
        </w:tc>
        <w:tc>
          <w:tcPr/>
          <w:p>
            <w:pPr>
              <w:pStyle w:val="Compact"/>
              <w:jc w:val="left"/>
            </w:pPr>
            <w:r>
              <w:t xml:space="preserve">73.2</w:t>
            </w:r>
          </w:p>
        </w:tc>
        <w:tc>
          <w:tcPr/>
          <w:p>
            <w:pPr>
              <w:pStyle w:val="Compact"/>
              <w:jc w:val="left"/>
            </w:pPr>
            <w:r>
              <w:t xml:space="preserve">—</w:t>
            </w:r>
          </w:p>
        </w:tc>
      </w:tr>
      <w:tr>
        <w:tc>
          <w:tcPr/>
          <w:p>
            <w:pPr>
              <w:pStyle w:val="Compact"/>
              <w:jc w:val="left"/>
            </w:pPr>
            <w:r>
              <w:t xml:space="preserve">Phi-3.5-mini</w:t>
            </w:r>
          </w:p>
        </w:tc>
        <w:tc>
          <w:tcPr/>
          <w:p>
            <w:pPr>
              <w:pStyle w:val="Compact"/>
              <w:jc w:val="left"/>
            </w:pPr>
            <w:r>
              <w:rPr>
                <w:bCs/>
                <w:b/>
              </w:rPr>
              <w:t xml:space="preserve">Fine-tuned</w:t>
            </w:r>
          </w:p>
        </w:tc>
        <w:tc>
          <w:tcPr/>
          <w:p>
            <w:pPr>
              <w:pStyle w:val="Compact"/>
              <w:jc w:val="left"/>
            </w:pPr>
            <w:r>
              <w:rPr>
                <w:bCs/>
                <w:b/>
              </w:rPr>
              <w:t xml:space="preserve">99.6</w:t>
            </w:r>
          </w:p>
        </w:tc>
        <w:tc>
          <w:tcPr/>
          <w:p>
            <w:pPr>
              <w:pStyle w:val="Compact"/>
              <w:jc w:val="left"/>
            </w:pPr>
            <w:r>
              <w:rPr>
                <w:bCs/>
                <w:b/>
              </w:rPr>
              <w:t xml:space="preserve">99.2</w:t>
            </w:r>
          </w:p>
        </w:tc>
        <w:tc>
          <w:tcPr/>
          <w:p>
            <w:pPr>
              <w:pStyle w:val="Compact"/>
              <w:jc w:val="left"/>
            </w:pPr>
            <w:r>
              <w:rPr>
                <w:bCs/>
                <w:b/>
              </w:rPr>
              <w:t xml:space="preserve">97.4</w:t>
            </w:r>
          </w:p>
        </w:tc>
        <w:tc>
          <w:tcPr/>
          <w:p>
            <w:pPr>
              <w:pStyle w:val="Compact"/>
              <w:jc w:val="left"/>
            </w:pPr>
            <w:r>
              <w:rPr>
                <w:bCs/>
                <w:b/>
              </w:rPr>
              <w:t xml:space="preserve">87.4</w:t>
            </w:r>
          </w:p>
        </w:tc>
        <w:tc>
          <w:tcPr/>
          <w:p>
            <w:pPr>
              <w:pStyle w:val="Compact"/>
              <w:jc w:val="left"/>
            </w:pPr>
            <w:r>
              <w:rPr>
                <w:bCs/>
                <w:b/>
              </w:rPr>
              <w:t xml:space="preserve">87.4</w:t>
            </w:r>
          </w:p>
        </w:tc>
        <w:tc>
          <w:tcPr/>
          <w:p>
            <w:pPr>
              <w:pStyle w:val="Compact"/>
              <w:jc w:val="left"/>
            </w:pPr>
            <w:r>
              <w:t xml:space="preserve">+14.2</w:t>
            </w:r>
          </w:p>
        </w:tc>
      </w:tr>
    </w:tbl>
    <w:p>
      <w:pPr>
        <w:pStyle w:val="BodyText"/>
      </w:pPr>
      <w:r>
        <w:t xml:space="preserve">Table 2: Zero-shot vs. fine-tuned performance across five models. All fine-tuned models use identical QLoRA configuration (rank=16, 10K samples, 3 epochs). EM = Exact Match.</w:t>
      </w:r>
    </w:p>
    <w:p>
      <w:pPr>
        <w:pStyle w:val="BodyText"/>
      </w:pPr>
      <w:r>
        <w:t xml:space="preserve">The most striking finding is the convergence of fine-tuned performance: despite a 12-percentage-point spread in zero-shot exact match (61.6–73.6%), all fine-tuned models achieve between 85.8% and 88.2%, a range of just 2.4 percentage points. This convergence is particularly notable for LLaMA-3.2-3B, which gains 26.2 percentage points from fine-tuning—nearly double the improvement of any Qwen model—to match Qwen2.5-3B at 87.8%.</w:t>
      </w:r>
    </w:p>
    <w:bookmarkEnd w:id="36"/>
    <w:bookmarkStart w:id="37" w:name="scaling-analysis"/>
    <w:p>
      <w:pPr>
        <w:pStyle w:val="Heading2"/>
      </w:pPr>
      <w:r>
        <w:t xml:space="preserve">Scaling Analysis</w:t>
      </w:r>
    </w:p>
    <w:p>
      <w:pPr>
        <w:pStyle w:val="FirstParagraph"/>
      </w:pPr>
      <w:r>
        <w:t xml:space="preserve">Within the Qwen family, increasing parameters from 1.5B to 7B yields diminishing returns: the 1.5B model achieves 85.8% exact match, the 3B model reaches 87.8% (+2.0%), and the 7B model achieves 88.2% (+0.4% over 3B). The cost of training and inference, however, scales roughly linearly with parameter count. This suggests that for function calling, the 1.5B–3B range offers the best efficiency–performance tradeoff.</w:t>
      </w:r>
    </w:p>
    <w:bookmarkEnd w:id="37"/>
    <w:bookmarkStart w:id="38" w:name="data-scaling"/>
    <w:p>
      <w:pPr>
        <w:pStyle w:val="Heading2"/>
      </w:pPr>
      <w:r>
        <w:t xml:space="preserve">Data Scaling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Training Samples</w:t>
            </w:r>
          </w:p>
        </w:tc>
        <w:tc>
          <w:tcPr/>
          <w:p>
            <w:pPr>
              <w:pStyle w:val="Compact"/>
              <w:jc w:val="left"/>
            </w:pPr>
            <w:r>
              <w:t xml:space="preserve">JSON %</w:t>
            </w:r>
          </w:p>
        </w:tc>
        <w:tc>
          <w:tcPr/>
          <w:p>
            <w:pPr>
              <w:pStyle w:val="Compact"/>
              <w:jc w:val="left"/>
            </w:pPr>
            <w:r>
              <w:t xml:space="preserve">Name %</w:t>
            </w:r>
          </w:p>
        </w:tc>
        <w:tc>
          <w:tcPr/>
          <w:p>
            <w:pPr>
              <w:pStyle w:val="Compact"/>
              <w:jc w:val="left"/>
            </w:pPr>
            <w:r>
              <w:t xml:space="preserve">ArgV %</w:t>
            </w:r>
          </w:p>
        </w:tc>
        <w:tc>
          <w:tcPr/>
          <w:p>
            <w:pPr>
              <w:pStyle w:val="Compact"/>
              <w:jc w:val="left"/>
            </w:pPr>
            <w:r>
              <w:t xml:space="preserve">EM %</w:t>
            </w:r>
          </w:p>
        </w:tc>
        <w:tc>
          <w:tcPr/>
          <w:p>
            <w:pPr>
              <w:pStyle w:val="Compact"/>
              <w:jc w:val="left"/>
            </w:pPr>
            <w:r>
              <w:t xml:space="preserve">Marginal Gain</w:t>
            </w:r>
          </w:p>
        </w:tc>
      </w:tr>
      <w:tr>
        <w:tc>
          <w:tcPr/>
          <w:p>
            <w:pPr>
              <w:pStyle w:val="Compact"/>
              <w:jc w:val="left"/>
            </w:pPr>
            <w:r>
              <w:t xml:space="preserve">500</w:t>
            </w:r>
          </w:p>
        </w:tc>
        <w:tc>
          <w:tcPr/>
          <w:p>
            <w:pPr>
              <w:pStyle w:val="Compact"/>
              <w:jc w:val="left"/>
            </w:pPr>
            <w:r>
              <w:t xml:space="preserve">100.0</w:t>
            </w:r>
          </w:p>
        </w:tc>
        <w:tc>
          <w:tcPr/>
          <w:p>
            <w:pPr>
              <w:pStyle w:val="Compact"/>
              <w:jc w:val="left"/>
            </w:pPr>
            <w:r>
              <w:t xml:space="preserve">99.8</w:t>
            </w:r>
          </w:p>
        </w:tc>
        <w:tc>
          <w:tcPr/>
          <w:p>
            <w:pPr>
              <w:pStyle w:val="Compact"/>
              <w:jc w:val="left"/>
            </w:pPr>
            <w:r>
              <w:t xml:space="preserve">78.2</w:t>
            </w:r>
          </w:p>
        </w:tc>
        <w:tc>
          <w:tcPr/>
          <w:p>
            <w:pPr>
              <w:pStyle w:val="Compact"/>
              <w:jc w:val="left"/>
            </w:pPr>
            <w:r>
              <w:t xml:space="preserve">78.2</w:t>
            </w:r>
          </w:p>
        </w:tc>
        <w:tc>
          <w:tcPr/>
          <w:p>
            <w:pPr>
              <w:pStyle w:val="Compact"/>
              <w:jc w:val="left"/>
            </w:pPr>
            <w:r>
              <w:t xml:space="preserve">—</w:t>
            </w:r>
          </w:p>
        </w:tc>
      </w:tr>
      <w:tr>
        <w:tc>
          <w:tcPr/>
          <w:p>
            <w:pPr>
              <w:pStyle w:val="Compact"/>
              <w:jc w:val="left"/>
            </w:pPr>
            <w:r>
              <w:t xml:space="preserve">1,000</w:t>
            </w:r>
          </w:p>
        </w:tc>
        <w:tc>
          <w:tcPr/>
          <w:p>
            <w:pPr>
              <w:pStyle w:val="Compact"/>
              <w:jc w:val="left"/>
            </w:pPr>
            <w:r>
              <w:t xml:space="preserve">99.6</w:t>
            </w:r>
          </w:p>
        </w:tc>
        <w:tc>
          <w:tcPr/>
          <w:p>
            <w:pPr>
              <w:pStyle w:val="Compact"/>
              <w:jc w:val="left"/>
            </w:pPr>
            <w:r>
              <w:t xml:space="preserve">99.4</w:t>
            </w:r>
          </w:p>
        </w:tc>
        <w:tc>
          <w:tcPr/>
          <w:p>
            <w:pPr>
              <w:pStyle w:val="Compact"/>
              <w:jc w:val="left"/>
            </w:pPr>
            <w:r>
              <w:t xml:space="preserve">80.4</w:t>
            </w:r>
          </w:p>
        </w:tc>
        <w:tc>
          <w:tcPr/>
          <w:p>
            <w:pPr>
              <w:pStyle w:val="Compact"/>
              <w:jc w:val="left"/>
            </w:pPr>
            <w:r>
              <w:t xml:space="preserve">80.4</w:t>
            </w:r>
          </w:p>
        </w:tc>
        <w:tc>
          <w:tcPr/>
          <w:p>
            <w:pPr>
              <w:pStyle w:val="Compact"/>
              <w:jc w:val="left"/>
            </w:pPr>
            <w:r>
              <w:t xml:space="preserve">+2.2</w:t>
            </w:r>
          </w:p>
        </w:tc>
      </w:tr>
      <w:tr>
        <w:tc>
          <w:tcPr/>
          <w:p>
            <w:pPr>
              <w:pStyle w:val="Compact"/>
              <w:jc w:val="left"/>
            </w:pPr>
            <w:r>
              <w:t xml:space="preserve">3,000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86.6</w:t>
            </w:r>
          </w:p>
        </w:tc>
        <w:tc>
          <w:tcPr/>
          <w:p>
            <w:pPr>
              <w:pStyle w:val="Compact"/>
              <w:jc w:val="left"/>
            </w:pPr>
            <w:r>
              <w:t xml:space="preserve">86.6</w:t>
            </w:r>
          </w:p>
        </w:tc>
        <w:tc>
          <w:tcPr/>
          <w:p>
            <w:pPr>
              <w:pStyle w:val="Compact"/>
              <w:jc w:val="left"/>
            </w:pPr>
            <w:r>
              <w:t xml:space="preserve">+6.2</w:t>
            </w:r>
          </w:p>
        </w:tc>
      </w:tr>
      <w:tr>
        <w:tc>
          <w:tcPr/>
          <w:p>
            <w:pPr>
              <w:pStyle w:val="Compact"/>
              <w:jc w:val="left"/>
            </w:pPr>
            <w:r>
              <w:t xml:space="preserve">10,000</w:t>
            </w:r>
          </w:p>
        </w:tc>
        <w:tc>
          <w:tcPr/>
          <w:p>
            <w:pPr>
              <w:pStyle w:val="Compact"/>
              <w:jc w:val="left"/>
            </w:pPr>
            <w:r>
              <w:t xml:space="preserve">99.8</w:t>
            </w:r>
          </w:p>
        </w:tc>
        <w:tc>
          <w:tcPr/>
          <w:p>
            <w:pPr>
              <w:pStyle w:val="Compact"/>
              <w:jc w:val="left"/>
            </w:pPr>
            <w:r>
              <w:t xml:space="preserve">99.8</w:t>
            </w:r>
          </w:p>
        </w:tc>
        <w:tc>
          <w:tcPr/>
          <w:p>
            <w:pPr>
              <w:pStyle w:val="Compact"/>
              <w:jc w:val="left"/>
            </w:pPr>
            <w:r>
              <w:t xml:space="preserve">87.8</w:t>
            </w:r>
          </w:p>
        </w:tc>
        <w:tc>
          <w:tcPr/>
          <w:p>
            <w:pPr>
              <w:pStyle w:val="Compact"/>
              <w:jc w:val="left"/>
            </w:pPr>
            <w:r>
              <w:t xml:space="preserve">87.8</w:t>
            </w:r>
          </w:p>
        </w:tc>
        <w:tc>
          <w:tcPr/>
          <w:p>
            <w:pPr>
              <w:pStyle w:val="Compact"/>
              <w:jc w:val="left"/>
            </w:pPr>
            <w:r>
              <w:t xml:space="preserve">+1.2</w:t>
            </w:r>
          </w:p>
        </w:tc>
      </w:tr>
      <w:tr>
        <w:tc>
          <w:tcPr/>
          <w:p>
            <w:pPr>
              <w:pStyle w:val="Compact"/>
              <w:jc w:val="left"/>
            </w:pPr>
            <w:r>
              <w:t xml:space="preserve">30,000</w:t>
            </w:r>
          </w:p>
        </w:tc>
        <w:tc>
          <w:tcPr/>
          <w:p>
            <w:pPr>
              <w:pStyle w:val="Compact"/>
              <w:jc w:val="left"/>
            </w:pPr>
            <w:r>
              <w:t xml:space="preserve">99.8</w:t>
            </w:r>
          </w:p>
        </w:tc>
        <w:tc>
          <w:tcPr/>
          <w:p>
            <w:pPr>
              <w:pStyle w:val="Compact"/>
              <w:jc w:val="left"/>
            </w:pPr>
            <w:r>
              <w:t xml:space="preserve">99.8</w:t>
            </w:r>
          </w:p>
        </w:tc>
        <w:tc>
          <w:tcPr/>
          <w:p>
            <w:pPr>
              <w:pStyle w:val="Compact"/>
              <w:jc w:val="left"/>
            </w:pPr>
            <w:r>
              <w:t xml:space="preserve">89.4</w:t>
            </w:r>
          </w:p>
        </w:tc>
        <w:tc>
          <w:tcPr/>
          <w:p>
            <w:pPr>
              <w:pStyle w:val="Compact"/>
              <w:jc w:val="left"/>
            </w:pPr>
            <w:r>
              <w:t xml:space="preserve">89.4</w:t>
            </w:r>
          </w:p>
        </w:tc>
        <w:tc>
          <w:tcPr/>
          <w:p>
            <w:pPr>
              <w:pStyle w:val="Compact"/>
              <w:jc w:val="left"/>
            </w:pPr>
            <w:r>
              <w:t xml:space="preserve">+1.6</w:t>
            </w:r>
          </w:p>
        </w:tc>
      </w:tr>
    </w:tbl>
    <w:p>
      <w:pPr>
        <w:pStyle w:val="BodyText"/>
      </w:pPr>
      <w:r>
        <w:t xml:space="preserve">Table 3: Effect of training data size on Qwen2.5-3B performance.</w:t>
      </w:r>
    </w:p>
    <w:p>
      <w:pPr>
        <w:pStyle w:val="BodyText"/>
      </w:pPr>
      <w:r>
        <w:t xml:space="preserve">Table 3 shows a clear logarithmic scaling pattern. The transition from 500 to 3,000 samples yields the steepest gains (+8.4%), while tripling the data from 10,000 to 30,000 produces only a +1.6% improvement. We identify 3,000 samples as the efficiency sweet spot: this amount achieves 86.6% exact match (97% of the 30K performance) while requiring only 10% of the training data and proportionally less compute.</w:t>
      </w:r>
    </w:p>
    <w:bookmarkEnd w:id="38"/>
    <w:bookmarkStart w:id="39" w:name="the-repetition-generation-problem"/>
    <w:p>
      <w:pPr>
        <w:pStyle w:val="Heading2"/>
      </w:pPr>
      <w:r>
        <w:t xml:space="preserve">The Repetition Generation Problem</w:t>
      </w:r>
    </w:p>
    <w:p>
      <w:pPr>
        <w:pStyle w:val="FirstParagraph"/>
      </w:pPr>
      <w:r>
        <w:t xml:space="preserve">Our initial experiments (v2) achieved only 58.6% exact match with Qwen2.5-3B. Error analysis revealed that approximately 70% of failures were caused by the model generating a correct JSON object followed by one or more additional, unwanted function calls. For example, given a query about loan calculation, the model would output the correct function call, then generate a second function call with different parameter values.</w:t>
      </w:r>
    </w:p>
    <w:p>
      <w:pPr>
        <w:pStyle w:val="BodyText"/>
      </w:pPr>
      <w:r>
        <w:t xml:space="preserve">This problem had two compounding effects. First, the raw model output was not a valid single JSON object, causing our initial evaluation parser (which used</w:t>
      </w:r>
      <w:r>
        <w:t xml:space="preserve"> </w:t>
      </w:r>
      <w:r>
        <w:rPr>
          <w:rStyle w:val="VerbatimChar"/>
        </w:rPr>
        <w:t xml:space="preserve">json.loads</w:t>
      </w:r>
      <w:r>
        <w:t xml:space="preserve"> </w:t>
      </w:r>
      <w:r>
        <w:t xml:space="preserve">on the entire output) to classify the response as an invalid JSON. Second, even when partial parsing was attempted, extracting the correct function call from the concatenated output was unreliable.</w:t>
      </w:r>
    </w:p>
    <w:p>
      <w:pPr>
        <w:pStyle w:val="BodyText"/>
      </w:pPr>
      <w:r>
        <w:t xml:space="preserve">We addressed this through three complementary solutions: (1) appending the model-specific EOS token to each training example’s function call, teaching the model to stop after one generation; (2) specifying multiple stop token IDs during inference, including the EOS token and model-specific end tokens; and (3) implementing a first-JSON extraction parser that correctly handles nested braces. Together, these changes improved exact match from 58.6% to 87.8%, a 29.2-percentage-point increase without changing the model, training data quantity, or any hyperparameters.</w:t>
      </w:r>
    </w:p>
    <w:bookmarkEnd w:id="39"/>
    <w:bookmarkEnd w:id="40"/>
    <w:bookmarkStart w:id="44" w:name="discussion"/>
    <w:p>
      <w:pPr>
        <w:pStyle w:val="Heading1"/>
      </w:pPr>
      <w:r>
        <w:t xml:space="preserve">Discussion</w:t>
      </w:r>
    </w:p>
    <w:bookmarkStart w:id="41" w:name="why-do-models-converge"/>
    <w:p>
      <w:pPr>
        <w:pStyle w:val="Heading2"/>
      </w:pPr>
      <w:r>
        <w:t xml:space="preserve">Why Do Models Converge?</w:t>
      </w:r>
    </w:p>
    <w:p>
      <w:pPr>
        <w:pStyle w:val="FirstParagraph"/>
      </w:pPr>
      <w:r>
        <w:t xml:space="preserve">The convergence of fine-tuned performance across architectures suggests that function calling may be a relatively</w:t>
      </w:r>
      <w:r>
        <w:t xml:space="preserve"> </w:t>
      </w:r>
      <w:r>
        <w:t xml:space="preserve">“</w:t>
      </w:r>
      <w:r>
        <w:t xml:space="preserve">surface-level</w:t>
      </w:r>
      <w:r>
        <w:t xml:space="preserve">”</w:t>
      </w:r>
      <w:r>
        <w:t xml:space="preserve"> </w:t>
      </w:r>
      <w:r>
        <w:t xml:space="preserve">capability that primarily requires learning a specific output format rather than deep reasoning. The models already understand the semantics of functions from pre-training; fine-tuning mainly teaches them to express this understanding in a structured JSON format. This interpretation is supported by the observation that JSON Valid Rate and Function Name Accuracy reach near-perfect levels across all models, while Argument Values Accuracy—which requires more precise understanding—shows the primary remaining errors.</w:t>
      </w:r>
    </w:p>
    <w:bookmarkEnd w:id="41"/>
    <w:bookmarkStart w:id="42" w:name="practical-implications"/>
    <w:p>
      <w:pPr>
        <w:pStyle w:val="Heading2"/>
      </w:pPr>
      <w:r>
        <w:t xml:space="preserve">Practical Implications</w:t>
      </w:r>
    </w:p>
    <w:p>
      <w:pPr>
        <w:pStyle w:val="FirstParagraph"/>
      </w:pPr>
      <w:r>
        <w:t xml:space="preserve">Our results have several practical implications for deploying small models as tool-use agents. First, model selection matters less than training data quality: all five models perform comparably after fine-tuning, so practitioners should choose based on licensing, ecosystem compatibility, and inference efficiency rather than raw capability. Second, the 3,000-sample efficiency sweet spot means that domain-specific function calling can be bootstrapped with a relatively small labeled dataset. Third, proper formatting of training data (including EOS tokens) and evaluation methodology (first-JSON extraction) are at least as important as model selection.</w:t>
      </w:r>
    </w:p>
    <w:bookmarkEnd w:id="42"/>
    <w:bookmarkStart w:id="43" w:name="limitations"/>
    <w:p>
      <w:pPr>
        <w:pStyle w:val="Heading2"/>
      </w:pPr>
      <w:r>
        <w:t xml:space="preserve">Limitations</w:t>
      </w:r>
    </w:p>
    <w:p>
      <w:pPr>
        <w:pStyle w:val="FirstParagraph"/>
      </w:pPr>
      <w:r>
        <w:t xml:space="preserve">Our study has several limitations. First, we evaluate on in-distribution data (Glaive) where training and test functions overlap. Performance on entirely unseen functions (out-of-distribution generalization) may differ significantly and warrants separate evaluation, potentially using the Berkeley Function-Calling Leaderboard (BFCL). Second, the Glaive dataset is synthetically generated by GPT-4, which may not fully represent the complexity and ambiguity of real-world function calling scenarios. Third, we do not evaluate multi-turn function calling, where the model must maintain context across several tool interactions. Fourth, our ablation studies do not cover all hyperparameters; LoRA rank and learning rate experiments are planned as future work.</w:t>
      </w:r>
    </w:p>
    <w:bookmarkEnd w:id="43"/>
    <w:bookmarkEnd w:id="44"/>
    <w:bookmarkStart w:id="45" w:name="conclusion"/>
    <w:p>
      <w:pPr>
        <w:pStyle w:val="Heading1"/>
      </w:pPr>
      <w:r>
        <w:t xml:space="preserve">Conclusion</w:t>
      </w:r>
    </w:p>
    <w:p>
      <w:pPr>
        <w:pStyle w:val="FirstParagraph"/>
      </w:pPr>
      <w:r>
        <w:t xml:space="preserve">We present a systematic study of parameter-efficient fine-tuning for function calling in small language models. Our experiments across five models (1.5B–7B parameters) from three architectural families demonstrate that QLoRA fine-tuning effectively eliminates performance differences between architectures, with all models converging to 85.8–88.2% exact match. We find that a 1.5B model achieves 97% of the performance of a 7B model, and that 3,000 training examples capture over 90% of the gains from 30,000 examples. Perhaps most importantly, we show that proper training data formatting and evaluation methodology account for a larger performance improvement (+29.2%) than model selection or scaling.</w:t>
      </w:r>
    </w:p>
    <w:p>
      <w:pPr>
        <w:pStyle w:val="BodyText"/>
      </w:pPr>
      <w:r>
        <w:t xml:space="preserve">These findings suggest that small language models are viable tool-use agents for production deployment, particularly in resource-constrained environments. Future work will extend this study to include out-of-distribution function evaluation, multi-turn interactions, LoRA hyperparameter ablations, and comparison with more recent models.</w:t>
      </w:r>
    </w:p>
    <w:bookmarkEnd w:id="45"/>
    <w:bookmarkStart w:id="46" w:name="references"/>
    <w:p>
      <w:pPr>
        <w:pStyle w:val="Heading1"/>
      </w:pPr>
      <w:r>
        <w:t xml:space="preserve">References</w:t>
      </w:r>
    </w:p>
    <w:p>
      <w:pPr>
        <w:pStyle w:val="FirstParagraph"/>
      </w:pPr>
      <w:r>
        <w:t xml:space="preserve">Abdin, M., et al. (2024). Phi-3 Technical Report: A Highly Capable Language Model Locally on Your Phone.</w:t>
      </w:r>
      <w:r>
        <w:t xml:space="preserve"> </w:t>
      </w:r>
      <w:r>
        <w:rPr>
          <w:iCs/>
          <w:i/>
        </w:rPr>
        <w:t xml:space="preserve">arXiv preprint arXiv:2404.14219</w:t>
      </w:r>
      <w:r>
        <w:t xml:space="preserve">.</w:t>
      </w:r>
    </w:p>
    <w:p>
      <w:pPr>
        <w:pStyle w:val="BodyText"/>
      </w:pPr>
      <w:r>
        <w:t xml:space="preserve">Bai, J., et al. (2023). Qwen Technical Report.</w:t>
      </w:r>
      <w:r>
        <w:t xml:space="preserve"> </w:t>
      </w:r>
      <w:r>
        <w:rPr>
          <w:iCs/>
          <w:i/>
        </w:rPr>
        <w:t xml:space="preserve">arXiv preprint arXiv:2309.16609</w:t>
      </w:r>
      <w:r>
        <w:t xml:space="preserve">.</w:t>
      </w:r>
    </w:p>
    <w:p>
      <w:pPr>
        <w:pStyle w:val="BodyText"/>
      </w:pPr>
      <w:r>
        <w:t xml:space="preserve">Dettmers, T., Pagnoni, A., Holtzman, A., &amp; Zettlemoyer, L. (2023). QLoRA: Efficient Finetuning of Quantized Language Models.</w:t>
      </w:r>
      <w:r>
        <w:t xml:space="preserve"> </w:t>
      </w:r>
      <w:r>
        <w:rPr>
          <w:iCs/>
          <w:i/>
        </w:rPr>
        <w:t xml:space="preserve">NeurIPS 2023</w:t>
      </w:r>
      <w:r>
        <w:t xml:space="preserve">.</w:t>
      </w:r>
    </w:p>
    <w:p>
      <w:pPr>
        <w:pStyle w:val="BodyText"/>
      </w:pPr>
      <w:r>
        <w:t xml:space="preserve">Hu, E. J., et al. (2022). LoRA: Low-Rank Adaptation of Large Language Models.</w:t>
      </w:r>
      <w:r>
        <w:t xml:space="preserve"> </w:t>
      </w:r>
      <w:r>
        <w:rPr>
          <w:iCs/>
          <w:i/>
        </w:rPr>
        <w:t xml:space="preserve">ICLR 2022</w:t>
      </w:r>
      <w:r>
        <w:t xml:space="preserve">.</w:t>
      </w:r>
    </w:p>
    <w:p>
      <w:pPr>
        <w:pStyle w:val="BodyText"/>
      </w:pPr>
      <w:r>
        <w:t xml:space="preserve">Patil, S. G., Zhang, T., Wang, X., &amp; Gonzalez, J. E. (2023). Gorilla: Large Language Model Connected with Massive APIs.</w:t>
      </w:r>
      <w:r>
        <w:t xml:space="preserve"> </w:t>
      </w:r>
      <w:r>
        <w:rPr>
          <w:iCs/>
          <w:i/>
        </w:rPr>
        <w:t xml:space="preserve">arXiv preprint arXiv:2305.15334</w:t>
      </w:r>
      <w:r>
        <w:t xml:space="preserve">.</w:t>
      </w:r>
    </w:p>
    <w:p>
      <w:pPr>
        <w:pStyle w:val="BodyText"/>
      </w:pPr>
      <w:r>
        <w:t xml:space="preserve">Qin, Y., et al. (2023). ToolLLM: Facilitating Large Language Models to Master 16000+ Real-world APIs.</w:t>
      </w:r>
      <w:r>
        <w:t xml:space="preserve"> </w:t>
      </w:r>
      <w:r>
        <w:rPr>
          <w:iCs/>
          <w:i/>
        </w:rPr>
        <w:t xml:space="preserve">ICLR 2024</w:t>
      </w:r>
      <w:r>
        <w:t xml:space="preserve">.</w:t>
      </w:r>
    </w:p>
    <w:p>
      <w:pPr>
        <w:pStyle w:val="BodyText"/>
      </w:pPr>
      <w:r>
        <w:t xml:space="preserve">Schick, T., et al. (2023). Toolformer: Language Models Can Teach Themselves to Use Tools.</w:t>
      </w:r>
      <w:r>
        <w:t xml:space="preserve"> </w:t>
      </w:r>
      <w:r>
        <w:rPr>
          <w:iCs/>
          <w:i/>
        </w:rPr>
        <w:t xml:space="preserve">NeurIPS 2023</w:t>
      </w:r>
      <w:r>
        <w:t xml:space="preserve">.</w:t>
      </w:r>
    </w:p>
    <w:p>
      <w:pPr>
        <w:pStyle w:val="BodyText"/>
      </w:pPr>
      <w:r>
        <w:t xml:space="preserve">Touvron, H., et al. (2023). LLaMA: Open and Efficient Foundation Language Models.</w:t>
      </w:r>
      <w:r>
        <w:t xml:space="preserve"> </w:t>
      </w:r>
      <w:r>
        <w:rPr>
          <w:iCs/>
          <w:i/>
        </w:rPr>
        <w:t xml:space="preserve">arXiv preprint arXiv:2302.13971</w:t>
      </w:r>
      <w:r>
        <w:t xml:space="preserve">.</w:t>
      </w:r>
    </w:p>
    <w:p>
      <w:pPr>
        <w:pStyle w:val="BodyText"/>
      </w:pPr>
      <w:r>
        <w:t xml:space="preserve">Yan, F., et al. (2024). Berkeley Function-Calling Leaderboard. https://gorilla.cs.berkeley.edu/leaderboard.html.</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LLMs as Tool-Use Agents: A Systematic Study of Parameter-Efficient Fine-Tuning for Function Calling</dc:title>
  <dc:creator>[Author Name], Northwestern Polytechnical University</dc:creator>
  <cp:keywords/>
  <dcterms:created xsi:type="dcterms:W3CDTF">2026-03-05T14:04:53Z</dcterms:created>
  <dcterms:modified xsi:type="dcterms:W3CDTF">2026-03-05T14:04:53Z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fontsize">
    <vt:lpwstr>12pt</vt:lpwstr>
  </property>
  <property fmtid="{D5CDD505-2E9C-101B-9397-08002B2CF9AE}" pid="4" name="geometry">
    <vt:lpwstr>margin=1in</vt:lpwstr>
  </property>
  <property fmtid="{D5CDD505-2E9C-101B-9397-08002B2CF9AE}" pid="5" name="linestretch">
    <vt:lpwstr>1.5</vt:lpwstr>
  </property>
  <property fmtid="{D5CDD505-2E9C-101B-9397-08002B2CF9AE}" pid="6" name="numbersections">
    <vt:lpwstr>True</vt:lpwstr>
  </property>
</Properties>
</file>