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pBdr>
          <w:bottom w:val="single" w:sz="8" w:space="3" w:color="1F4E79"/>
        </w:pBdr>
      </w:pPr>
      <w:r>
        <w:rPr>
          <w:rFonts w:ascii="Arial" w:hAnsi="Arial" w:cs="Arial"/>
          <w:b/>
          <w:color w:val="1F4E79"/>
          <w:sz w:val="28"/>
        </w:rPr>
        <w:t>EK-1: KAYNAKLAR</w:t>
      </w:r>
    </w:p>
    <w:p>
      <w:pPr>
        <w:spacing w:after="100" w:line="259" w:lineRule="auto"/>
      </w:pPr>
      <w:r>
        <w:rPr>
          <w:rFonts w:ascii="Arial" w:hAnsi="Arial" w:cs="Arial"/>
          <w:b w:val="0"/>
          <w:i w:val="0"/>
          <w:color w:val="1F1F1F"/>
          <w:sz w:val="18"/>
        </w:rPr>
        <w:t>Bu bölümde, proje önerisinde yararlanılan kaynakların listesi TÜBİTAK Bibliyografik Verilerin Düzenlenmesi sayfasındaki açıklamalara uygun olarak verilmeli ve bu kaynaklara metnin içerisinde atıf yapılmalıdır.</w:t>
      </w:r>
    </w:p>
    <w:p>
      <w:pPr>
        <w:spacing w:after="100" w:line="259" w:lineRule="auto"/>
      </w:pPr>
      <w:r>
        <w:rPr>
          <w:rFonts w:ascii="Arial" w:hAnsi="Arial" w:cs="Arial"/>
          <w:b w:val="0"/>
          <w:i/>
          <w:color w:val="666666"/>
          <w:sz w:val="18"/>
        </w:rPr>
        <w:t>Kaynaklar yazar soyadlarına / kurum adına göre alfabetik sırada düzenlenmiş; DOI numarası bulunan kaynaklarda DOI bilgisi kaynak sonuna eklenmiş ve internet kaynakları için son erişim tarihi ayrıca belirtilmiştir.</w:t>
      </w:r>
    </w:p>
    <w:p>
      <w:pPr>
        <w:spacing w:after="100" w:line="259" w:lineRule="auto"/>
      </w:pPr>
      <w:r>
        <w:rPr>
          <w:rFonts w:ascii="Arial" w:hAnsi="Arial" w:cs="Arial"/>
          <w:b w:val="0"/>
          <w:i w:val="0"/>
          <w:color w:val="1F1F1F"/>
          <w:sz w:val="8"/>
        </w:rPr>
      </w:r>
    </w:p>
    <w:p>
      <w:pPr>
        <w:spacing w:after="140" w:line="259" w:lineRule="auto"/>
        <w:ind w:left="425" w:hanging="425"/>
      </w:pPr>
      <w:r>
        <w:rPr>
          <w:rFonts w:ascii="Arial" w:hAnsi="Arial" w:cs="Arial"/>
          <w:b w:val="0"/>
          <w:i w:val="0"/>
          <w:color w:val="1F1F1F"/>
          <w:sz w:val="18"/>
        </w:rPr>
        <w:t>Armanazi, A. 2026. “House Rental Price Estimation in Türkiye Project Codebase and Datasets”, Sakarya University FBE500i Course Project Files, webscraper.py, preprocessing.ipynb, model.py, final_data_v4.csv, finalDataModel.csv, model_metrics.json.</w:t>
      </w:r>
    </w:p>
    <w:p>
      <w:pPr>
        <w:spacing w:after="140" w:line="259" w:lineRule="auto"/>
        <w:ind w:left="425" w:hanging="425"/>
      </w:pPr>
      <w:r>
        <w:rPr>
          <w:rFonts w:ascii="Arial" w:hAnsi="Arial" w:cs="Arial"/>
          <w:b w:val="0"/>
          <w:i w:val="0"/>
          <w:color w:val="1F1F1F"/>
          <w:sz w:val="18"/>
        </w:rPr>
        <w:t>Cao, S., Liao, W., Huang, J. 2024. “Research on Renting Price Prediction Based on Machine Learning”, Proceedings of the 5th Management Science Informatization and Economic Innovation Development Conference, MSIEID 2023. DOI: 10.4108/eai.8-12-2023.2344718.</w:t>
      </w:r>
    </w:p>
    <w:p>
      <w:pPr>
        <w:spacing w:after="140" w:line="259" w:lineRule="auto"/>
        <w:ind w:left="425" w:hanging="425"/>
      </w:pPr>
      <w:r>
        <w:rPr>
          <w:rFonts w:ascii="Arial" w:hAnsi="Arial" w:cs="Arial"/>
          <w:b w:val="0"/>
          <w:i w:val="0"/>
          <w:color w:val="1F1F1F"/>
          <w:sz w:val="18"/>
        </w:rPr>
        <w:t>Çılgın, C., Gökçen, H. 2023. “Machine Learning Methods for Prediction Real Estate Sales Prices in Turkey”, Revista de la Construcción. Journal of Construction, 22(1), 163-177. DOI: 10.7764/RDLC.22.1.163.</w:t>
      </w:r>
    </w:p>
    <w:p>
      <w:pPr>
        <w:spacing w:after="140" w:line="259" w:lineRule="auto"/>
        <w:ind w:left="425" w:hanging="425"/>
      </w:pPr>
      <w:r>
        <w:rPr>
          <w:rFonts w:ascii="Arial" w:hAnsi="Arial" w:cs="Arial"/>
          <w:b w:val="0"/>
          <w:i w:val="0"/>
          <w:color w:val="1F1F1F"/>
          <w:sz w:val="18"/>
        </w:rPr>
        <w:t>Lu, S., Li, Z., Qin, Z., Yang, X., Goh, R. S. M. 2017. “A Hybrid Regression Technique for House Prices Prediction”, 2017 IEEE International Conference on Industrial Engineering and Engineering Management (IEEM), Singapore, 319-323. DOI: 10.1109/IEEM.2017.8289904.</w:t>
      </w:r>
    </w:p>
    <w:p>
      <w:pPr>
        <w:spacing w:after="140" w:line="259" w:lineRule="auto"/>
        <w:ind w:left="425" w:hanging="425"/>
      </w:pPr>
      <w:r>
        <w:rPr>
          <w:rFonts w:ascii="Arial" w:hAnsi="Arial" w:cs="Arial"/>
          <w:b w:val="0"/>
          <w:i w:val="0"/>
          <w:color w:val="1F1F1F"/>
          <w:sz w:val="18"/>
        </w:rPr>
        <w:t>Phan, T. D. 2018. “Housing Price Prediction Using Machine Learning Algorithms: The Case of Melbourne City, Australia”, 2018 International Conference on Machine Learning and Data Engineering (iCMLDE), Sydney, NSW, Australia, 35-42. DOI: 10.1109/iCMLDE.2018.00017.</w:t>
      </w:r>
    </w:p>
    <w:p>
      <w:pPr>
        <w:spacing w:after="140" w:line="259" w:lineRule="auto"/>
        <w:ind w:left="425" w:hanging="425"/>
      </w:pPr>
      <w:r>
        <w:rPr>
          <w:rFonts w:ascii="Arial" w:hAnsi="Arial" w:cs="Arial"/>
          <w:b w:val="0"/>
          <w:i w:val="0"/>
          <w:color w:val="1F1F1F"/>
          <w:sz w:val="18"/>
        </w:rPr>
        <w:t>Selim, H. 2009. “Determinants of House Prices in Turkey: Hedonic Regression versus Artificial Neural Network”, Expert Systems with Applications, 36(2), 2843-2852. DOI: 10.1016/J.ESWA.2008.01.044.</w:t>
      </w:r>
    </w:p>
    <w:p>
      <w:pPr>
        <w:spacing w:after="140" w:line="259" w:lineRule="auto"/>
        <w:ind w:left="425" w:hanging="425"/>
      </w:pPr>
      <w:r>
        <w:rPr>
          <w:rFonts w:ascii="Arial" w:hAnsi="Arial" w:cs="Arial"/>
          <w:b w:val="0"/>
          <w:i w:val="0"/>
          <w:color w:val="1F1F1F"/>
          <w:sz w:val="18"/>
        </w:rPr>
        <w:t>Türkiye Bilimsel ve Teknolojik Araştırma Kurumu. “1002-A Hızlı Destek Modülü”. https://tubitak.gov.tr/tr/destekler/akademik/ulusal-destek-programlari/1002-hizli-destek-modulu, Son erişim tarihi: 29 Mayıs 2026.</w:t>
      </w:r>
    </w:p>
    <w:p>
      <w:pPr>
        <w:spacing w:after="140" w:line="259" w:lineRule="auto"/>
        <w:ind w:left="425" w:hanging="425"/>
      </w:pPr>
      <w:r>
        <w:rPr>
          <w:rFonts w:ascii="Arial" w:hAnsi="Arial" w:cs="Arial"/>
          <w:b w:val="0"/>
          <w:i w:val="0"/>
          <w:color w:val="1F1F1F"/>
          <w:sz w:val="18"/>
        </w:rPr>
        <w:t>Yoshida, T., Murakami, D., Seya, H. 2022. “Spatial Prediction of Apartment Rent Using Regression-Based and Machine Learning-Based Approaches with a Large Dataset”, The Journal of Real Estate Finance and Economics, 69(1), 1-28. DOI: 10.1007/s11146-022-09929-6.</w:t>
      </w:r>
    </w:p>
    <w:p>
      <w:pPr>
        <w:spacing w:after="100" w:line="259" w:lineRule="auto"/>
      </w:pPr>
      <w:r>
        <w:rPr>
          <w:rFonts w:ascii="Arial" w:hAnsi="Arial" w:cs="Arial"/>
          <w:b w:val="0"/>
          <w:i/>
          <w:color w:val="666666"/>
          <w:sz w:val="16"/>
        </w:rPr>
        <w:t>Not: Kaynakça biçimi TÜBİTAK’ın Bibliyografik Verilerin Düzenlenmesi duyurusundaki periyodik yayın ve internet kaynağı örnekleri esas alınarak hazırlanmıştır.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100" w:line="259" w:lineRule="auto"/>
      <w:jc w:val="right"/>
    </w:pPr>
    <w:r>
      <w:rPr>
        <w:rFonts w:ascii="Arial" w:hAnsi="Arial" w:cs="Arial"/>
        <w:b w:val="0"/>
        <w:i w:val="0"/>
        <w:color w:val="666666"/>
        <w:sz w:val="16"/>
      </w:rPr>
      <w:t>1002BF-01 | EK-1: KAYNAKLAR | Abdulrazak Armanazi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