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AA01F7">
      <w:pPr>
        <w:spacing w:beforeAutospacing="0" w:after="0" w:afterAutospacing="0" w:line="240" w:lineRule="auto"/>
        <w:jc w:val="center"/>
        <w:rPr>
          <w:rFonts w:hint="eastAsia" w:ascii="Times New Roman" w:hAnsi="Times New Roman" w:eastAsia="Times New Roman" w:cs="Times New Roman"/>
          <w:sz w:val="36"/>
          <w:szCs w:val="36"/>
          <w:lang w:val="en-US"/>
        </w:rPr>
      </w:pPr>
      <w:r>
        <w:rPr>
          <w:rFonts w:hint="eastAsia" w:ascii="Times New Roman" w:hAnsi="Times New Roman" w:eastAsia="Times New Roman" w:cs="Times New Roman"/>
          <w:sz w:val="36"/>
          <w:szCs w:val="36"/>
          <w:lang w:val="en-US"/>
        </w:rPr>
        <w:t>Designing a Jurisdiction-Aware RegTech Tool</w:t>
      </w:r>
    </w:p>
    <w:p w14:paraId="172BA754">
      <w:pPr>
        <w:spacing w:before="100" w:beforeAutospacing="0" w:after="0" w:afterAutospacing="0" w:line="240" w:lineRule="auto"/>
        <w:jc w:val="right"/>
        <w:rPr>
          <w:rFonts w:hint="eastAsia" w:ascii="Times New Roman" w:hAnsi="Times New Roman" w:eastAsia="Times New Roman" w:cs="Times New Roman"/>
          <w:sz w:val="36"/>
          <w:szCs w:val="36"/>
          <w:lang w:val="en-US"/>
        </w:rPr>
      </w:pPr>
      <w:r>
        <w:rPr>
          <w:rFonts w:hint="eastAsia" w:ascii="Times New Roman" w:hAnsi="Times New Roman" w:eastAsia="宋体" w:cs="Times New Roman"/>
          <w:sz w:val="36"/>
          <w:szCs w:val="36"/>
          <w:lang w:val="en-US" w:eastAsia="zh-CN"/>
        </w:rPr>
        <w:t>——</w:t>
      </w:r>
      <w:r>
        <w:rPr>
          <w:rFonts w:hint="eastAsia" w:ascii="Times New Roman" w:hAnsi="Times New Roman" w:eastAsia="Times New Roman" w:cs="Times New Roman"/>
          <w:sz w:val="36"/>
          <w:szCs w:val="36"/>
          <w:lang w:val="en-US"/>
        </w:rPr>
        <w:t>JurisFair BNPL Credit Monitor</w:t>
      </w:r>
    </w:p>
    <w:p w14:paraId="368CB99A">
      <w:pPr>
        <w:spacing w:before="100" w:beforeAutospacing="0" w:after="0" w:afterAutospacing="0" w:line="240" w:lineRule="auto"/>
        <w:jc w:val="center"/>
        <w:rPr>
          <w:rFonts w:hint="eastAsia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sz w:val="24"/>
          <w:szCs w:val="24"/>
          <w:lang w:val="en-US"/>
        </w:rPr>
        <w:t>Task 1 - Selection and Research</w:t>
      </w:r>
    </w:p>
    <w:p w14:paraId="0E0D088F">
      <w:pPr>
        <w:spacing w:before="100" w:beforeAutospacing="0" w:after="0" w:afterAutospacing="0" w:line="240" w:lineRule="auto"/>
        <w:jc w:val="center"/>
        <w:rPr>
          <w:rFonts w:hint="eastAsia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sz w:val="24"/>
          <w:szCs w:val="24"/>
          <w:lang w:val="en-US"/>
        </w:rPr>
        <w:t>Student: TONG XIN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</w:t>
      </w:r>
      <w:r>
        <w:rPr>
          <w:rFonts w:hint="eastAsia" w:ascii="Times New Roman" w:hAnsi="Times New Roman" w:eastAsia="Times New Roman" w:cs="Times New Roman"/>
          <w:sz w:val="24"/>
          <w:szCs w:val="24"/>
          <w:lang w:val="en-US"/>
        </w:rPr>
        <w:t>G2505218J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）</w:t>
      </w:r>
    </w:p>
    <w:p w14:paraId="2C026A84">
      <w:pPr>
        <w:spacing w:before="100" w:beforeAutospacing="0" w:after="0" w:afterAutospacing="0" w:line="240" w:lineRule="auto"/>
        <w:jc w:val="center"/>
        <w:rPr>
          <w:rFonts w:hint="eastAsia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sz w:val="24"/>
          <w:szCs w:val="24"/>
          <w:lang w:val="en-US"/>
        </w:rPr>
        <w:t>Email: XIN021@e.ntu.edu.sg</w:t>
      </w:r>
      <w:bookmarkStart w:id="0" w:name="_GoBack"/>
      <w:bookmarkEnd w:id="0"/>
    </w:p>
    <w:p w14:paraId="25798A55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0" w:afterAutospacing="0" w:line="280" w:lineRule="exact"/>
        <w:ind w:left="0" w:right="0"/>
        <w:jc w:val="both"/>
        <w:textAlignment w:val="auto"/>
        <w:rPr>
          <w:rFonts w:hint="eastAsia"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sz w:val="28"/>
          <w:szCs w:val="28"/>
          <w:lang w:val="en-US"/>
        </w:rPr>
        <w:t>1. Selected regulated entity</w:t>
      </w:r>
    </w:p>
    <w:p w14:paraId="07272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0" w:afterAutospacing="0" w:line="280" w:lineRule="exact"/>
        <w:ind w:firstLine="480" w:firstLineChars="200"/>
        <w:jc w:val="both"/>
        <w:textAlignment w:val="auto"/>
        <w:rPr>
          <w:rFonts w:hint="eastAsia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sz w:val="24"/>
          <w:szCs w:val="24"/>
          <w:lang w:val="en-US"/>
        </w:rPr>
        <w:t xml:space="preserve">The selected regulated entity is Klarna Bank AB / Klarna Group. Klarna is a strong case because it combines BNPL / consumer credit products, automated creditworthiness assessment and cross-border financial services. Klarna Bank AB is authorised as a bank and supervised by the Swedish Financial Supervisory Authority, and Klarna states that it provides financial services in other EEA countries through passporting and local branches </w:t>
      </w:r>
      <w:r>
        <w:rPr>
          <w:rFonts w:hint="eastAsia" w:ascii="Times New Roman" w:hAnsi="Times New Roman" w:eastAsia="Times New Roman" w:cs="Times New Roman"/>
          <w:b/>
          <w:bCs/>
          <w:sz w:val="24"/>
          <w:szCs w:val="24"/>
          <w:vertAlign w:val="superscript"/>
          <w:lang w:val="en-US"/>
        </w:rPr>
        <w:t>[1]</w:t>
      </w:r>
      <w:r>
        <w:rPr>
          <w:rFonts w:hint="eastAsia" w:ascii="Times New Roman" w:hAnsi="Times New Roman" w:eastAsia="Times New Roman" w:cs="Times New Roman"/>
          <w:sz w:val="24"/>
          <w:szCs w:val="24"/>
          <w:lang w:val="en-US"/>
        </w:rPr>
        <w:t xml:space="preserve">. Klarna also offers US consumers flexible payment methods such as Pay in 4, Pay in 30 and pay-over-time options </w:t>
      </w:r>
      <w:r>
        <w:rPr>
          <w:rFonts w:hint="eastAsia" w:ascii="Times New Roman" w:hAnsi="Times New Roman" w:eastAsia="Times New Roman" w:cs="Times New Roman"/>
          <w:b/>
          <w:bCs/>
          <w:sz w:val="24"/>
          <w:szCs w:val="24"/>
          <w:vertAlign w:val="superscript"/>
          <w:lang w:val="en-US"/>
        </w:rPr>
        <w:t>[2]</w:t>
      </w:r>
      <w:r>
        <w:rPr>
          <w:rFonts w:hint="eastAsia" w:ascii="Times New Roman" w:hAnsi="Times New Roman" w:eastAsia="Times New Roman" w:cs="Times New Roman"/>
          <w:sz w:val="24"/>
          <w:szCs w:val="24"/>
          <w:lang w:val="en-US"/>
        </w:rPr>
        <w:t>.</w:t>
      </w:r>
    </w:p>
    <w:p w14:paraId="5D96C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0" w:afterAutospacing="0" w:line="280" w:lineRule="exact"/>
        <w:ind w:firstLine="480" w:firstLineChars="200"/>
        <w:jc w:val="both"/>
        <w:textAlignment w:val="auto"/>
        <w:rPr>
          <w:rFonts w:hint="eastAsia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sz w:val="24"/>
          <w:szCs w:val="24"/>
          <w:lang w:val="en-US"/>
        </w:rPr>
        <w:t>This selection fits the assignment better than a purely domestic lender because the project needs one named regulated entity with operations in the US and a non-US jurisdiction. Klarna also creates a realistic RegTech problem: the same automated or data-driven credit decision may need different compliance interpretation in the US and the EU.</w:t>
      </w:r>
    </w:p>
    <w:p w14:paraId="306A40E3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0" w:afterAutospacing="0" w:line="280" w:lineRule="exact"/>
        <w:ind w:left="0" w:right="0"/>
        <w:jc w:val="both"/>
        <w:textAlignment w:val="auto"/>
        <w:rPr>
          <w:rFonts w:hint="eastAsia"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sz w:val="28"/>
          <w:szCs w:val="28"/>
          <w:lang w:val="en-US"/>
        </w:rPr>
        <w:t>2. Selected regulatory domain</w:t>
      </w:r>
    </w:p>
    <w:p w14:paraId="6DD40B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0" w:afterAutospacing="0" w:line="280" w:lineRule="exact"/>
        <w:ind w:firstLine="480" w:firstLineChars="200"/>
        <w:jc w:val="both"/>
        <w:textAlignment w:val="auto"/>
        <w:rPr>
          <w:rFonts w:hint="eastAsia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sz w:val="24"/>
          <w:szCs w:val="24"/>
          <w:lang w:val="en-US"/>
        </w:rPr>
        <w:t>The selected domain is credit scoring / creditworthiness assessment, with emphasis on algorithmic fairness, fair lending, adverse-action explainability and AI governance. This domain directly reflects the lecture theme that RegTech tools are political artefacts: a credit decisioning system distributes access to financial products, so regulatory design choices affect consumers, lenders and public policy goals.</w:t>
      </w:r>
    </w:p>
    <w:p w14:paraId="6ABF717B">
      <w:pPr>
        <w:keepNext w:val="0"/>
        <w:keepLines w:val="0"/>
        <w:pageBreakBefore w:val="0"/>
        <w:widowControl w:val="0"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0" w:afterAutospacing="0" w:line="280" w:lineRule="exact"/>
        <w:ind w:left="0" w:right="0"/>
        <w:jc w:val="both"/>
        <w:textAlignment w:val="auto"/>
        <w:rPr>
          <w:rFonts w:hint="eastAsia"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sz w:val="28"/>
          <w:szCs w:val="28"/>
          <w:lang w:val="en-US"/>
        </w:rPr>
        <w:t>Main regulatory divergence</w:t>
      </w:r>
    </w:p>
    <w:p w14:paraId="51A5DBE2">
      <w:pPr>
        <w:keepNext w:val="0"/>
        <w:keepLines w:val="0"/>
        <w:pageBreakBefore w:val="0"/>
        <w:widowControl w:val="0"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0" w:afterAutospacing="0" w:line="280" w:lineRule="exact"/>
        <w:ind w:right="0" w:rightChars="0"/>
        <w:jc w:val="both"/>
        <w:textAlignment w:val="auto"/>
        <w:rPr>
          <w:rFonts w:hint="eastAsia" w:ascii="Times New Roman" w:hAnsi="Times New Roman" w:eastAsia="Times New Roman" w:cs="Times New Roman"/>
          <w:b/>
          <w:bCs/>
          <w:sz w:val="28"/>
          <w:szCs w:val="28"/>
          <w:lang w:val="en-US"/>
        </w:rPr>
      </w:pPr>
    </w:p>
    <w:tbl>
      <w:tblPr>
        <w:tblStyle w:val="4"/>
        <w:tblW w:w="1018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4326"/>
        <w:gridCol w:w="4663"/>
      </w:tblGrid>
      <w:tr w14:paraId="7FD3F0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top w:w="35" w:type="dxa"/>
              <w:left w:w="40" w:type="dxa"/>
              <w:bottom w:w="35" w:type="dxa"/>
              <w:right w:w="40" w:type="dxa"/>
            </w:tcMar>
            <w:vAlign w:val="center"/>
          </w:tcPr>
          <w:p w14:paraId="0A5EC4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10" w:afterAutospacing="0" w:line="280" w:lineRule="exact"/>
              <w:jc w:val="center"/>
              <w:textAlignment w:val="auto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Dimension</w:t>
            </w:r>
          </w:p>
        </w:tc>
        <w:tc>
          <w:tcPr>
            <w:tcW w:w="43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top w:w="35" w:type="dxa"/>
              <w:left w:w="40" w:type="dxa"/>
              <w:bottom w:w="35" w:type="dxa"/>
              <w:right w:w="40" w:type="dxa"/>
            </w:tcMar>
            <w:vAlign w:val="center"/>
          </w:tcPr>
          <w:p w14:paraId="29F71D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10" w:afterAutospacing="0" w:line="280" w:lineRule="exact"/>
              <w:jc w:val="center"/>
              <w:textAlignment w:val="auto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United States</w:t>
            </w:r>
          </w:p>
        </w:tc>
        <w:tc>
          <w:tcPr>
            <w:tcW w:w="46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top w:w="35" w:type="dxa"/>
              <w:left w:w="40" w:type="dxa"/>
              <w:bottom w:w="35" w:type="dxa"/>
              <w:right w:w="40" w:type="dxa"/>
            </w:tcMar>
            <w:vAlign w:val="center"/>
          </w:tcPr>
          <w:p w14:paraId="17FFA1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10" w:afterAutospacing="0" w:line="280" w:lineRule="exact"/>
              <w:jc w:val="center"/>
              <w:textAlignment w:val="auto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European Union</w:t>
            </w:r>
          </w:p>
        </w:tc>
      </w:tr>
      <w:tr w14:paraId="665AFE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35" w:type="dxa"/>
              <w:left w:w="40" w:type="dxa"/>
              <w:bottom w:w="35" w:type="dxa"/>
              <w:right w:w="40" w:type="dxa"/>
            </w:tcMar>
            <w:vAlign w:val="center"/>
          </w:tcPr>
          <w:p w14:paraId="2BBB4D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10" w:afterAutospacing="0" w:line="280" w:lineRule="exact"/>
              <w:jc w:val="left"/>
              <w:textAlignment w:val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Core concern</w:t>
            </w:r>
          </w:p>
        </w:tc>
        <w:tc>
          <w:tcPr>
            <w:tcW w:w="43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35" w:type="dxa"/>
              <w:left w:w="40" w:type="dxa"/>
              <w:bottom w:w="35" w:type="dxa"/>
              <w:right w:w="40" w:type="dxa"/>
            </w:tcMar>
            <w:vAlign w:val="center"/>
          </w:tcPr>
          <w:p w14:paraId="648EBE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10" w:afterAutospacing="0" w:line="280" w:lineRule="exact"/>
              <w:jc w:val="left"/>
              <w:textAlignment w:val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ECOA / Regulation B monitoring, adverse-action explanation specificity, fair lending risk and fair-access / unlawful debanking review.</w:t>
            </w:r>
          </w:p>
        </w:tc>
        <w:tc>
          <w:tcPr>
            <w:tcW w:w="46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35" w:type="dxa"/>
              <w:left w:w="40" w:type="dxa"/>
              <w:bottom w:w="35" w:type="dxa"/>
              <w:right w:w="40" w:type="dxa"/>
            </w:tcMar>
            <w:vAlign w:val="center"/>
          </w:tcPr>
          <w:p w14:paraId="5BADF4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10" w:afterAutospacing="0" w:line="280" w:lineRule="exact"/>
              <w:jc w:val="left"/>
              <w:textAlignment w:val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EU AI Act high-risk AI governance for creditworthiness / credit scoring, including lifecycle risk management and human oversight.</w:t>
            </w:r>
          </w:p>
        </w:tc>
      </w:tr>
      <w:tr w14:paraId="25B2C2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35" w:type="dxa"/>
              <w:left w:w="40" w:type="dxa"/>
              <w:bottom w:w="35" w:type="dxa"/>
              <w:right w:w="40" w:type="dxa"/>
            </w:tcMar>
            <w:vAlign w:val="center"/>
          </w:tcPr>
          <w:p w14:paraId="2691D8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10" w:afterAutospacing="0" w:line="280" w:lineRule="exact"/>
              <w:jc w:val="left"/>
              <w:textAlignment w:val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Explanation logic</w:t>
            </w:r>
          </w:p>
        </w:tc>
        <w:tc>
          <w:tcPr>
            <w:tcW w:w="43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35" w:type="dxa"/>
              <w:left w:w="40" w:type="dxa"/>
              <w:bottom w:w="35" w:type="dxa"/>
              <w:right w:w="40" w:type="dxa"/>
            </w:tcMar>
            <w:vAlign w:val="center"/>
          </w:tcPr>
          <w:p w14:paraId="2D2255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10" w:afterAutospacing="0" w:line="280" w:lineRule="exact"/>
              <w:jc w:val="left"/>
              <w:textAlignment w:val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Specific and accurate reasons for adverse action are required even when complex algorithms are used 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sz w:val="24"/>
                <w:szCs w:val="24"/>
                <w:vertAlign w:val="superscript"/>
                <w:lang w:val="en-US"/>
              </w:rPr>
              <w:t>[3]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.</w:t>
            </w:r>
          </w:p>
        </w:tc>
        <w:tc>
          <w:tcPr>
            <w:tcW w:w="46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35" w:type="dxa"/>
              <w:left w:w="40" w:type="dxa"/>
              <w:bottom w:w="35" w:type="dxa"/>
              <w:right w:w="40" w:type="dxa"/>
            </w:tcMar>
            <w:vAlign w:val="center"/>
          </w:tcPr>
          <w:p w14:paraId="0639A4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10" w:afterAutospacing="0" w:line="280" w:lineRule="exact"/>
              <w:jc w:val="left"/>
              <w:textAlignment w:val="auto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Explainability and traceability support technical documentation, auditability, logs and human oversight 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sz w:val="24"/>
                <w:szCs w:val="24"/>
                <w:vertAlign w:val="superscript"/>
                <w:lang w:val="en-US"/>
              </w:rPr>
              <w:t>[6]-[8]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.</w:t>
            </w:r>
          </w:p>
        </w:tc>
      </w:tr>
      <w:tr w14:paraId="7B0D3D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35" w:type="dxa"/>
              <w:left w:w="40" w:type="dxa"/>
              <w:bottom w:w="35" w:type="dxa"/>
              <w:right w:w="40" w:type="dxa"/>
            </w:tcMar>
            <w:vAlign w:val="center"/>
          </w:tcPr>
          <w:p w14:paraId="2F5424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10" w:afterAutospacing="0" w:line="280" w:lineRule="exact"/>
              <w:jc w:val="left"/>
              <w:textAlignment w:val="auto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Threshold philosophy</w:t>
            </w:r>
          </w:p>
        </w:tc>
        <w:tc>
          <w:tcPr>
            <w:tcW w:w="43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35" w:type="dxa"/>
              <w:left w:w="40" w:type="dxa"/>
              <w:bottom w:w="35" w:type="dxa"/>
              <w:right w:w="40" w:type="dxa"/>
            </w:tcMar>
            <w:vAlign w:val="center"/>
          </w:tcPr>
          <w:p w14:paraId="313C2E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10" w:afterAutospacing="0" w:line="280" w:lineRule="exact"/>
              <w:jc w:val="left"/>
              <w:textAlignment w:val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Statistical disparity is treated as a review trigger, not an automatic federal ECOA violation; the 2026 Regulation B final rule narrows the federal disparate-impact framing 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sz w:val="24"/>
                <w:szCs w:val="24"/>
                <w:vertAlign w:val="superscript"/>
                <w:lang w:val="en-US"/>
              </w:rPr>
              <w:t>[5]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.</w:t>
            </w:r>
          </w:p>
        </w:tc>
        <w:tc>
          <w:tcPr>
            <w:tcW w:w="46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35" w:type="dxa"/>
              <w:left w:w="40" w:type="dxa"/>
              <w:bottom w:w="35" w:type="dxa"/>
              <w:right w:w="40" w:type="dxa"/>
            </w:tcMar>
            <w:vAlign w:val="center"/>
          </w:tcPr>
          <w:p w14:paraId="3C670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10" w:afterAutospacing="0" w:line="280" w:lineRule="exact"/>
              <w:jc w:val="left"/>
              <w:textAlignment w:val="auto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Lower internal thresholds are used because high-risk AI governance is preventive, lifecycle-based and fundamental-rights oriented 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sz w:val="24"/>
                <w:szCs w:val="24"/>
                <w:vertAlign w:val="superscript"/>
                <w:lang w:val="en-US"/>
              </w:rPr>
              <w:t>[6]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.</w:t>
            </w:r>
          </w:p>
        </w:tc>
      </w:tr>
      <w:tr w14:paraId="5ABF45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35" w:type="dxa"/>
              <w:left w:w="40" w:type="dxa"/>
              <w:bottom w:w="35" w:type="dxa"/>
              <w:right w:w="40" w:type="dxa"/>
            </w:tcMar>
            <w:vAlign w:val="center"/>
          </w:tcPr>
          <w:p w14:paraId="252D40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10" w:afterAutospacing="0" w:line="280" w:lineRule="exact"/>
              <w:jc w:val="left"/>
              <w:textAlignment w:val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Political</w:t>
            </w:r>
          </w:p>
          <w:p w14:paraId="21608F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10" w:afterAutospacing="0" w:line="280" w:lineRule="exact"/>
              <w:jc w:val="left"/>
              <w:textAlignment w:val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/legal shift</w:t>
            </w:r>
          </w:p>
        </w:tc>
        <w:tc>
          <w:tcPr>
            <w:tcW w:w="43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35" w:type="dxa"/>
              <w:left w:w="40" w:type="dxa"/>
              <w:bottom w:w="35" w:type="dxa"/>
              <w:right w:w="40" w:type="dxa"/>
            </w:tcMar>
            <w:vAlign w:val="center"/>
          </w:tcPr>
          <w:p w14:paraId="2A2F5F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10" w:afterAutospacing="0" w:line="280" w:lineRule="exact"/>
              <w:jc w:val="left"/>
              <w:textAlignment w:val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Biden-era CFPB materials emphasised AI adverse-action explanations; the 2025 fair-banking order emphasises fair access and unlawful debanking 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sz w:val="24"/>
                <w:szCs w:val="24"/>
                <w:vertAlign w:val="superscript"/>
                <w:lang w:val="en-US"/>
              </w:rPr>
              <w:t>[3]-[5]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.</w:t>
            </w:r>
          </w:p>
        </w:tc>
        <w:tc>
          <w:tcPr>
            <w:tcW w:w="46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35" w:type="dxa"/>
              <w:left w:w="40" w:type="dxa"/>
              <w:bottom w:w="35" w:type="dxa"/>
              <w:right w:w="40" w:type="dxa"/>
            </w:tcMar>
            <w:vAlign w:val="center"/>
          </w:tcPr>
          <w:p w14:paraId="54D9CF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10" w:afterAutospacing="0" w:line="280" w:lineRule="exact"/>
              <w:jc w:val="left"/>
              <w:textAlignment w:val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The EU AI Act treats creditworthiness / credit scoring AI as high-risk, so monitoring extends beyond the point of consumer denial 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sz w:val="24"/>
                <w:szCs w:val="24"/>
                <w:vertAlign w:val="superscript"/>
                <w:lang w:val="en-US"/>
              </w:rPr>
              <w:t>[6]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.</w:t>
            </w:r>
          </w:p>
        </w:tc>
      </w:tr>
    </w:tbl>
    <w:p w14:paraId="56BB4D4D">
      <w:pPr>
        <w:keepNext w:val="0"/>
        <w:keepLines w:val="0"/>
        <w:pageBreakBefore w:val="0"/>
        <w:widowControl w:val="0"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0" w:afterAutospacing="0" w:line="280" w:lineRule="exact"/>
        <w:ind w:right="0" w:rightChars="0"/>
        <w:jc w:val="both"/>
        <w:textAlignment w:val="auto"/>
        <w:rPr>
          <w:rFonts w:hint="eastAsia" w:ascii="Times New Roman" w:hAnsi="Times New Roman" w:eastAsia="Times New Roman" w:cs="Times New Roman"/>
          <w:b/>
          <w:bCs/>
          <w:sz w:val="28"/>
          <w:szCs w:val="28"/>
          <w:lang w:val="en-US"/>
        </w:rPr>
      </w:pPr>
    </w:p>
    <w:p w14:paraId="3A58FED3">
      <w:pPr>
        <w:pStyle w:val="2"/>
        <w:spacing w:before="0" w:line="240" w:lineRule="auto"/>
        <w:rPr>
          <w:rFonts w:hint="eastAsia" w:ascii="Times New Roman" w:hAnsi="Times New Roman" w:eastAsia="Times New Roman" w:cs="Times New Roman"/>
          <w:b/>
          <w:bCs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Times New Roman" w:cs="Times New Roman"/>
          <w:b/>
          <w:bCs/>
          <w:color w:val="auto"/>
          <w:kern w:val="2"/>
          <w:sz w:val="28"/>
          <w:szCs w:val="28"/>
          <w:lang w:val="en-US" w:eastAsia="zh-CN" w:bidi="ar-SA"/>
        </w:rPr>
        <w:t>References and URLs</w:t>
      </w:r>
    </w:p>
    <w:p w14:paraId="23E572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firstLine="0" w:firstLineChars="0"/>
        <w:jc w:val="left"/>
        <w:textAlignment w:val="auto"/>
        <w:rPr>
          <w:rFonts w:hint="eastAsia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[1]Klarna Investor Relations, Governance Oversight. </w:t>
      </w:r>
      <w:r>
        <w:rPr>
          <w:rFonts w:hint="eastAsia" w:ascii="Times New Roman" w:hAnsi="Times New Roman" w:eastAsia="Times New Roman" w:cs="Times New Roman"/>
          <w:sz w:val="24"/>
          <w:szCs w:val="24"/>
          <w:lang w:val="en-US"/>
        </w:rPr>
        <w:t>https://investors.klarna.com/governance/Governance-Oversight/</w:t>
      </w:r>
    </w:p>
    <w:p w14:paraId="226606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0" w:afterAutospacing="0" w:line="280" w:lineRule="exact"/>
        <w:jc w:val="left"/>
        <w:textAlignment w:val="auto"/>
        <w:rPr>
          <w:rFonts w:hint="eastAsia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sz w:val="24"/>
          <w:szCs w:val="24"/>
          <w:lang w:val="en-US"/>
        </w:rPr>
        <w:t>[2] Klarna US Payments.</w:t>
      </w:r>
      <w:r>
        <w:rPr>
          <w:rFonts w:hint="eastAsia" w:ascii="Times New Roman" w:hAnsi="Times New Roman" w:eastAsia="Times New Roman" w:cs="Times New Roman"/>
          <w:sz w:val="24"/>
          <w:szCs w:val="24"/>
          <w:lang w:val="en-US"/>
        </w:rPr>
        <w:t xml:space="preserve"> </w:t>
      </w:r>
    </w:p>
    <w:p w14:paraId="655ECD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0" w:afterAutospacing="0" w:line="280" w:lineRule="exact"/>
        <w:jc w:val="left"/>
        <w:textAlignment w:val="auto"/>
        <w:rPr>
          <w:rFonts w:hint="eastAsia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sz w:val="24"/>
          <w:szCs w:val="24"/>
          <w:lang w:val="en-US"/>
        </w:rPr>
        <w:t>https://www.klarna.com/us/payments/</w:t>
      </w:r>
    </w:p>
    <w:p w14:paraId="5C2D2B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0" w:afterAutospacing="0" w:line="280" w:lineRule="exact"/>
        <w:jc w:val="left"/>
        <w:textAlignment w:val="auto"/>
        <w:rPr>
          <w:rFonts w:hint="eastAsia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[3] Consumer Financial Protection Bureau, Circular 2022-03: adverse action notification requirements and complex algorithms. </w:t>
      </w:r>
      <w:r>
        <w:rPr>
          <w:rFonts w:hint="eastAsia" w:ascii="Times New Roman" w:hAnsi="Times New Roman" w:eastAsia="Times New Roman" w:cs="Times New Roman"/>
          <w:sz w:val="24"/>
          <w:szCs w:val="24"/>
          <w:lang w:val="en-US"/>
        </w:rPr>
        <w:t>https://www.consumerfinance.gov/compliance/circulars/circular-2022-03-adverse-action-notification-requirements-in-connection-with-credit-decisions-based-on-complex-algorithms/</w:t>
      </w:r>
    </w:p>
    <w:p w14:paraId="4D02E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0" w:afterAutospacing="0" w:line="280" w:lineRule="exact"/>
        <w:jc w:val="left"/>
        <w:textAlignment w:val="auto"/>
        <w:rPr>
          <w:rFonts w:hint="eastAsia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[4] The White House, Guaranteeing Fair Banking For All Americans, 7 August 2025. </w:t>
      </w:r>
      <w:r>
        <w:rPr>
          <w:rFonts w:hint="eastAsia" w:ascii="Times New Roman" w:hAnsi="Times New Roman" w:eastAsia="Times New Roman" w:cs="Times New Roman"/>
          <w:sz w:val="24"/>
          <w:szCs w:val="24"/>
          <w:lang w:val="en-US"/>
        </w:rPr>
        <w:t>https://www.whitehouse.gov/presidential-actions/2025/08/guaranteeing-fair-banking-for-all-americans/</w:t>
      </w:r>
    </w:p>
    <w:p w14:paraId="37768C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0" w:afterAutospacing="0" w:line="280" w:lineRule="exact"/>
        <w:jc w:val="left"/>
        <w:textAlignment w:val="auto"/>
        <w:rPr>
          <w:rFonts w:hint="eastAsia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sz w:val="24"/>
          <w:szCs w:val="24"/>
          <w:lang w:val="en-US"/>
        </w:rPr>
        <w:t>[5] Federal Register, Equal Credit Opportunity Act (Regulation B), final rule, 22 April</w:t>
      </w:r>
      <w:r>
        <w:rPr>
          <w:rFonts w:hint="eastAsia" w:ascii="Times New Roman" w:hAnsi="Times New Roman" w:eastAsia="Times New Roman" w:cs="Times New Roman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2026. </w:t>
      </w:r>
      <w:r>
        <w:rPr>
          <w:rFonts w:hint="eastAsia" w:ascii="Times New Roman" w:hAnsi="Times New Roman" w:eastAsia="Times New Roman" w:cs="Times New Roman"/>
          <w:sz w:val="24"/>
          <w:szCs w:val="24"/>
          <w:lang w:val="en-US"/>
        </w:rPr>
        <w:t>https://www.federalregister.gov/documents/2026/04/22/2026-07804/equal-credit-opportunity-act-regulation-b</w:t>
      </w:r>
    </w:p>
    <w:p w14:paraId="310808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0" w:afterAutospacing="0" w:line="280" w:lineRule="exact"/>
        <w:jc w:val="left"/>
        <w:textAlignment w:val="auto"/>
        <w:rPr>
          <w:rFonts w:hint="eastAsia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[6] Regulation (EU) 2024/1689, Artificial Intelligence Act, EUR-Lex. </w:t>
      </w:r>
      <w:r>
        <w:rPr>
          <w:rFonts w:hint="eastAsia" w:ascii="Times New Roman" w:hAnsi="Times New Roman" w:eastAsia="Times New Roman" w:cs="Times New Roman"/>
          <w:sz w:val="24"/>
          <w:szCs w:val="24"/>
          <w:lang w:val="en-US"/>
        </w:rPr>
        <w:t>https://eur-lex.europa.eu/eli/reg/2024/1689/oj/eng</w:t>
      </w:r>
    </w:p>
    <w:p w14:paraId="11FED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0" w:afterAutospacing="0" w:line="280" w:lineRule="exact"/>
        <w:jc w:val="left"/>
        <w:textAlignment w:val="auto"/>
        <w:rPr>
          <w:rFonts w:hint="eastAsia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[7] EU AI Act Service Desk, Article 10: Data and data governance. </w:t>
      </w:r>
      <w:r>
        <w:rPr>
          <w:rFonts w:hint="eastAsia" w:ascii="Times New Roman" w:hAnsi="Times New Roman" w:eastAsia="Times New Roman" w:cs="Times New Roman"/>
          <w:sz w:val="24"/>
          <w:szCs w:val="24"/>
          <w:lang w:val="en-US"/>
        </w:rPr>
        <w:t>https://ai-act-service-desk.ec.europa.eu/en/ai-act/article-10</w:t>
      </w:r>
    </w:p>
    <w:p w14:paraId="32A18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0" w:afterAutospacing="0" w:line="280" w:lineRule="exact"/>
        <w:jc w:val="left"/>
        <w:textAlignment w:val="auto"/>
        <w:rPr>
          <w:rFonts w:hint="eastAsia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[8] EU AI Act Service Desk, Article 18: Documentation keeping. </w:t>
      </w:r>
      <w:r>
        <w:rPr>
          <w:rFonts w:hint="eastAsia" w:ascii="Times New Roman" w:hAnsi="Times New Roman" w:eastAsia="Times New Roman" w:cs="Times New Roman"/>
          <w:sz w:val="24"/>
          <w:szCs w:val="24"/>
          <w:lang w:val="en-US"/>
        </w:rPr>
        <w:t>https://ai-act-service-desk.ec.europa.eu/en/ai-act/article-18</w:t>
      </w:r>
    </w:p>
    <w:p w14:paraId="2B5899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0" w:afterAutospacing="0" w:line="280" w:lineRule="exact"/>
        <w:ind w:firstLine="480" w:firstLineChars="200"/>
        <w:jc w:val="left"/>
        <w:textAlignment w:val="auto"/>
        <w:rPr>
          <w:rFonts w:hint="eastAsia" w:ascii="Times New Roman" w:hAnsi="Times New Roman" w:eastAsia="Times New Roma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B238C6"/>
    <w:multiLevelType w:val="singleLevel"/>
    <w:tmpl w:val="E0B238C6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0F38FC"/>
    <w:rsid w:val="4B0F3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9" w:lineRule="auto"/>
      <w:jc w:val="both"/>
    </w:pPr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28"/>
      <w:szCs w:val="28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2026-05-24T10:35:00Z</dcterms:created>
  <dc:creator>张一山</dc:creator>
  <cp:lastModifiedBy>张一山</cp:lastModifiedBy>
  <dcterms:modified xsi:type="dcterms:W3CDTF">2026-05-24T10:49:32Z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20992E2A44EC400987936C36AF0AB817_11</vt:lpwstr>
  </property>
  <property fmtid="{D5CDD505-2E9C-101B-9397-08002B2CF9AE}" pid="4" name="KSOTemplateDocerSaveRecord">
    <vt:lpwstr>eyJoZGlkIjoiM2EyNWFiOTZmNTE3YTU2NTBlODE5NDUwMmVhODdmYjkiLCJ1c2VySWQiOiIxODA4ODA5NjQxIn0=</vt:lpwstr>
  </property>
</Properties>
</file>