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 w:after="600"/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动力电池深度学习  60 天进阶课程</w:t>
      </w:r>
    </w:p>
    <w:p>
      <w:pPr>
        <w:pStyle w:val="Title"/>
        <w:jc w:val="center"/>
      </w:pPr>
      <w:r>
        <w:t>制造质量控制与过程能力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 w:val="0"/>
          <w:i w:val="0"/>
          <w:color w:val="000000"/>
          <w:sz w:val="31"/>
        </w:rPr>
        <w:t>测量系统  统计控制  能力评价  反应计划</w:t>
      </w:r>
    </w:p>
    <w:p>
      <w:pPr>
        <w:spacing w:after="920"/>
        <w:jc w:val="center"/>
      </w:pPr>
      <w:r>
        <w:rPr>
          <w:rFonts w:ascii="Microsoft YaHei" w:hAnsi="Microsoft YaHei" w:eastAsia="Microsoft YaHei"/>
          <w:b/>
          <w:i w:val="0"/>
          <w:color w:val="667085"/>
          <w:sz w:val="23"/>
        </w:rPr>
        <w:t>第 08 期  |  2026-09-08  |  制造质量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本期结论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能力指数只有在测量系统可信、过程稳定且抽样方式合理时才有工程含义。控制图负责识别变化，规格限负责判断产品是否满足要求，两者不能互换。</w:t>
      </w:r>
    </w:p>
    <w:p>
      <w:pPr>
        <w:spacing w:after="120" w:line="300" w:lineRule="auto" w:before="360"/>
      </w:pPr>
      <w:r>
        <w:rPr>
          <w:rFonts w:ascii="Microsoft YaHei" w:hAnsi="Microsoft YaHei" w:eastAsia="Microsoft YaHei"/>
          <w:b/>
          <w:i w:val="0"/>
          <w:color w:val="17365D"/>
          <w:sz w:val="20"/>
        </w:rPr>
        <w:t xml:space="preserve">阅读方法  </w:t>
      </w:r>
      <w:r>
        <w:rPr>
          <w:rFonts w:ascii="Microsoft YaHei" w:hAnsi="Microsoft YaHei" w:eastAsia="Microsoft YaHei"/>
          <w:b w:val="0"/>
          <w:i/>
          <w:color w:val="24364B"/>
          <w:sz w:val="20"/>
        </w:rPr>
        <w:t>先沿质量闭环确定数据角色，再依次学习测量系统、稳定性、控制图和能力指数，最后用异常案例练习隔离与追溯。</w:t>
      </w:r>
    </w:p>
    <w:p>
      <w:r>
        <w:br w:type="page"/>
      </w:r>
    </w:p>
    <w:p>
      <w:pPr>
        <w:pStyle w:val="Heading1"/>
        <w:keepNext/>
        <w:keepLines/>
      </w:pPr>
      <w:r>
        <w:t>1 本期学习目标</w:t>
      </w:r>
    </w:p>
    <w:p>
      <w:pPr>
        <w:spacing w:after="80" w:line="288" w:lineRule="auto"/>
        <w:numPr>
          <w:ilvl w:val="0"/>
          <w:numId w:val="21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把电芯要求分解为可测量的关键质量特性和关键过程参数，并定义数据用途。</w:t>
      </w:r>
    </w:p>
    <w:p>
      <w:pPr>
        <w:spacing w:after="80" w:line="288" w:lineRule="auto"/>
        <w:numPr>
          <w:ilvl w:val="0"/>
          <w:numId w:val="21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区分规格限、控制限和预警限，解释为什么控制图不能代替产品判定。</w:t>
      </w:r>
    </w:p>
    <w:p>
      <w:pPr>
        <w:spacing w:after="80" w:line="288" w:lineRule="auto"/>
        <w:numPr>
          <w:ilvl w:val="0"/>
          <w:numId w:val="21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用偏倚、重复性、再现性、稳定性和线性评价测量系统，不让量具噪声冒充工艺波动。</w:t>
      </w:r>
    </w:p>
    <w:p>
      <w:pPr>
        <w:spacing w:after="80" w:line="288" w:lineRule="auto"/>
        <w:numPr>
          <w:ilvl w:val="0"/>
          <w:numId w:val="21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在过程稳定后计算 Cp 和 Cpk，并识别非正态分布、自相关和混合总体带来的误判。</w:t>
      </w:r>
    </w:p>
    <w:p>
      <w:pPr>
        <w:spacing w:after="80" w:line="288" w:lineRule="auto"/>
        <w:numPr>
          <w:ilvl w:val="0"/>
          <w:numId w:val="21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为越界和非随机信号建立隔离、追溯、验证和放行的反应计划。</w:t>
      </w:r>
    </w:p>
    <w:p>
      <w:pPr>
        <w:pStyle w:val="Heading1"/>
        <w:keepNext/>
        <w:keepLines/>
      </w:pPr>
      <w:r>
        <w:t>2 质量数据必须连接产品要求和现场动作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制造质量控制的对象是产品风险。每一项关键质量特性都应回答五个问题：它与容量、功率、寿命或安全有什么关系；在哪里测；如何测；什么信号触发行动；行动后如何证明风险已经关闭。若数据没有连接到明确的反应计划，采集频率再高也只是存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49995"/>
            <wp:docPr id="1" name="Picture 1" descr="制造质量闭环示意图，依次连接质量特性、测量系统、过程稳定、过程能力和反应闭环，突出测量系统是统计判断的前提。" title="动力电池制造质量链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8_quality_ch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49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18"/>
        </w:rPr>
        <w:t>图 1  制造质量控制的判断顺序  本文绘制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 w:space="0"/>
          <w:left w:val="single" w:sz="6" w:color="D9D9D9" w:space="0"/>
          <w:bottom w:val="single" w:sz="6" w:color="D9D9D9" w:space="0"/>
          <w:right w:val="single" w:sz="6" w:color="D9D9D9" w:space="0"/>
          <w:insideH w:val="single" w:sz="6" w:color="D9D9D9" w:space="0"/>
          <w:insideV w:val="single" w:sz="6" w:color="D9D9D9" w:space="0"/>
        </w:tblBorders>
      </w:tblPr>
      <w:tblGrid>
        <w:gridCol w:w="1550"/>
        <w:gridCol w:w="2700"/>
        <w:gridCol w:w="2550"/>
        <w:gridCol w:w="2560"/>
      </w:tblGrid>
      <w:tr>
        <w:trPr>
          <w:tblHeader w:val="true"/>
        </w:trPr>
        <w:tc>
          <w:tcPr>
            <w:tcW w:type="dxa" w:w="155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对象</w:t>
            </w:r>
          </w:p>
        </w:tc>
        <w:tc>
          <w:tcPr>
            <w:tcW w:type="dxa" w:w="270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典型电池特性</w:t>
            </w:r>
          </w:p>
        </w:tc>
        <w:tc>
          <w:tcPr>
            <w:tcW w:type="dxa" w:w="255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数据用途</w:t>
            </w:r>
          </w:p>
        </w:tc>
        <w:tc>
          <w:tcPr>
            <w:tcW w:type="dxa" w:w="256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错误做法</w:t>
            </w:r>
          </w:p>
        </w:tc>
      </w:tr>
      <w:tr>
        <w:tc>
          <w:tcPr>
            <w:tcW w:type="dxa" w:w="15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产品规格</w:t>
            </w:r>
          </w:p>
        </w:tc>
        <w:tc>
          <w:tcPr>
            <w:tcW w:type="dxa" w:w="27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容量 DCIR 绝缘 漏率</w:t>
            </w:r>
          </w:p>
        </w:tc>
        <w:tc>
          <w:tcPr>
            <w:tcW w:type="dxa" w:w="25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交付和安全判定</w:t>
            </w:r>
          </w:p>
        </w:tc>
        <w:tc>
          <w:tcPr>
            <w:tcW w:type="dxa" w:w="256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把内部控制线当客户规格</w:t>
            </w:r>
          </w:p>
        </w:tc>
      </w:tr>
      <w:tr>
        <w:tc>
          <w:tcPr>
            <w:tcW w:type="dxa" w:w="15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工序输出</w:t>
            </w:r>
          </w:p>
        </w:tc>
        <w:tc>
          <w:tcPr>
            <w:tcW w:type="dxa" w:w="27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面密度 厚度 水分 焊接电阻</w:t>
            </w:r>
          </w:p>
        </w:tc>
        <w:tc>
          <w:tcPr>
            <w:tcW w:type="dxa" w:w="25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识别漂移并保护后工序</w:t>
            </w:r>
          </w:p>
        </w:tc>
        <w:tc>
          <w:tcPr>
            <w:tcW w:type="dxa" w:w="256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只保留平均值不保留时间顺序</w:t>
            </w:r>
          </w:p>
        </w:tc>
      </w:tr>
      <w:tr>
        <w:tc>
          <w:tcPr>
            <w:tcW w:type="dxa" w:w="15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过程输入</w:t>
            </w:r>
          </w:p>
        </w:tc>
        <w:tc>
          <w:tcPr>
            <w:tcW w:type="dxa" w:w="27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线速度 压力 温度 真空时间</w:t>
            </w:r>
          </w:p>
        </w:tc>
        <w:tc>
          <w:tcPr>
            <w:tcW w:type="dxa" w:w="25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解释输出变化并锁定原因</w:t>
            </w:r>
          </w:p>
        </w:tc>
        <w:tc>
          <w:tcPr>
            <w:tcW w:type="dxa" w:w="256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只记录设定值不记录实际值</w:t>
            </w:r>
          </w:p>
        </w:tc>
      </w:tr>
      <w:tr>
        <w:tc>
          <w:tcPr>
            <w:tcW w:type="dxa" w:w="15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谱系信息</w:t>
            </w:r>
          </w:p>
        </w:tc>
        <w:tc>
          <w:tcPr>
            <w:tcW w:type="dxa" w:w="27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批次 设备 工位 通道 刀位</w:t>
            </w:r>
          </w:p>
        </w:tc>
        <w:tc>
          <w:tcPr>
            <w:tcW w:type="dxa" w:w="25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隔离共同原因和影响范围</w:t>
            </w:r>
          </w:p>
        </w:tc>
        <w:tc>
          <w:tcPr>
            <w:tcW w:type="dxa" w:w="256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仅按成品日期追溯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3 规格限和控制限回答不同问题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规格上限和下限来自设计要求、法规、客户约定或经过验证的内部标准，用于判断产品是否满足要求。控制限根据稳定过程的时间序列估计，用于判断当前波动是否仍像历史共同原因波动。一个点可以在规格内但超出控制限，说明过程发生了值得调查的变化；也可能所有点都在控制限内，但整个稳定分布仍越过规格限，说明过程稳定却没有能力。</w:t>
      </w:r>
    </w:p>
    <w:p>
      <w:pPr>
        <w:spacing w:before="60" w:after="60"/>
        <w:jc w:val="center"/>
      </w:pPr>
      <m:oMathPara>
        <m:oMath>
          <m:r>
            <m:t>UCL = μ + 3σ    CL = μ    LCL = μ − 3σ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b w:val="0"/>
          <w:i w:val="0"/>
          <w:color w:val="24364B"/>
          <w:sz w:val="20"/>
        </w:rPr>
        <w:t>UCL 和 LCL 为控制上限和下限；CL 为中心线；μ 为稳定过程均值；σ 为与所选统计量相匹配的过程标准差。它们与特性单位相同。三西格玛是常用约定，不是客户规格。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NIST 指出，控制图通常包含中心线与上下控制限。对满足相应假设的正态独立数据，三西格玛限对应双侧约 0.27% 的单点偶然越界概率；分布偏斜、自相关或分组不合理会改变实际误报率。[1] 即使没有点越界，连续上升、长期偏在中心线一侧或周期性结构也可能是非随机信号。</w:t>
      </w:r>
    </w:p>
    <w:p>
      <w:pPr>
        <w:pStyle w:val="Heading2"/>
        <w:keepNext/>
        <w:keepLines/>
      </w:pPr>
      <w:r>
        <w:t>3.1 合理分组决定控制图看到哪一种波动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合理子组应让同一子组内只包含短时间共同条件下的样品，而子组之间能够暴露班次、卷号、烘箱区、涂布头、分切刀位或化成通道的变化。把不同设备、材料批次和产品族混在一个子组中，会把真实差异压进组内波动，使控制限变宽。按异常结果重新挑选样品则会破坏时间顺序并低估波动。</w:t>
      </w:r>
    </w:p>
    <w:p>
      <w:pPr>
        <w:pStyle w:val="Heading1"/>
        <w:keepNext/>
        <w:keepLines/>
      </w:pPr>
      <w:r>
        <w:t>4 测量系统必须先于过程接受检验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观测值由真实产品差异和测量误差共同构成。量具的分辨率、偏倚、重复性、操作者或夹具再现性、随时间漂移以及量程内线性都会改变判断。NIST 的测量过程章节强调，应使用核查标准和控制图监控测量偏倚及长期变异，而不是只在校准到期时检查仪器。[2]</w:t>
      </w:r>
    </w:p>
    <w:p>
      <w:pPr>
        <w:spacing w:before="60" w:after="60"/>
        <w:jc w:val="center"/>
      </w:pPr>
      <m:oMathPara>
        <m:oMath>
          <m:r>
            <m:t>y_obs = y_true + b + ε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b w:val="0"/>
          <w:i w:val="0"/>
          <w:color w:val="24364B"/>
          <w:sz w:val="20"/>
        </w:rPr>
        <w:t>y_obs 为观测值；y_true 为被测对象真实值；b 为系统偏倚；ε 为随机测量误差。各项与被测特性使用相同单位。</w:t>
      </w:r>
    </w:p>
    <w:p>
      <w:pPr>
        <w:spacing w:before="60" w:after="60"/>
        <w:jc w:val="center"/>
      </w:pPr>
      <m:oMathPara>
        <m:oMath>
          <m:r>
            <m:t>σ_obs² = σ_part² + σ_repeat² + σ_reprod² + σ_other²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b w:val="0"/>
          <w:i w:val="0"/>
          <w:color w:val="24364B"/>
          <w:sz w:val="20"/>
        </w:rPr>
        <w:t>σ_obs² 为观测方差；σ_part² 为零件间方差；σ_repeat² 为重复性方差；σ_reprod² 为再现性方差；σ_other² 为时间、位置和夹具等其他测量方差。方差单位为特性单位的平方。该分解要求研究设计能够区分这些来源。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 w:space="0"/>
          <w:left w:val="single" w:sz="6" w:color="D9D9D9" w:space="0"/>
          <w:bottom w:val="single" w:sz="6" w:color="D9D9D9" w:space="0"/>
          <w:right w:val="single" w:sz="6" w:color="D9D9D9" w:space="0"/>
          <w:insideH w:val="single" w:sz="6" w:color="D9D9D9" w:space="0"/>
          <w:insideV w:val="single" w:sz="6" w:color="D9D9D9" w:space="0"/>
        </w:tblBorders>
      </w:tblPr>
      <w:tblGrid>
        <w:gridCol w:w="1550"/>
        <w:gridCol w:w="2450"/>
        <w:gridCol w:w="2870"/>
        <w:gridCol w:w="2490"/>
      </w:tblGrid>
      <w:tr>
        <w:trPr>
          <w:tblHeader w:val="true"/>
        </w:trPr>
        <w:tc>
          <w:tcPr>
            <w:tcW w:type="dxa" w:w="155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测量属性</w:t>
            </w:r>
          </w:p>
        </w:tc>
        <w:tc>
          <w:tcPr>
            <w:tcW w:type="dxa" w:w="245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工程含义</w:t>
            </w:r>
          </w:p>
        </w:tc>
        <w:tc>
          <w:tcPr>
            <w:tcW w:type="dxa" w:w="28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动力电池例子</w:t>
            </w:r>
          </w:p>
        </w:tc>
        <w:tc>
          <w:tcPr>
            <w:tcW w:type="dxa" w:w="249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验证方式</w:t>
            </w:r>
          </w:p>
        </w:tc>
      </w:tr>
      <w:tr>
        <w:tc>
          <w:tcPr>
            <w:tcW w:type="dxa" w:w="15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分辨率</w:t>
            </w:r>
          </w:p>
        </w:tc>
        <w:tc>
          <w:tcPr>
            <w:tcW w:type="dxa" w:w="24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最小可辨变化是否足够</w:t>
            </w:r>
          </w:p>
        </w:tc>
        <w:tc>
          <w:tcPr>
            <w:tcW w:type="dxa" w:w="287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厚度仪能否分辨控制窗口内的小漂移</w:t>
            </w:r>
          </w:p>
        </w:tc>
        <w:tc>
          <w:tcPr>
            <w:tcW w:type="dxa" w:w="249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与公差和过程波动比较</w:t>
            </w:r>
          </w:p>
        </w:tc>
      </w:tr>
      <w:tr>
        <w:tc>
          <w:tcPr>
            <w:tcW w:type="dxa" w:w="15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偏倚</w:t>
            </w:r>
          </w:p>
        </w:tc>
        <w:tc>
          <w:tcPr>
            <w:tcW w:type="dxa" w:w="24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平均读数相对参考值偏移</w:t>
            </w:r>
          </w:p>
        </w:tc>
        <w:tc>
          <w:tcPr>
            <w:tcW w:type="dxa" w:w="287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水分仪对标准样或实验室方法的偏差</w:t>
            </w:r>
          </w:p>
        </w:tc>
        <w:tc>
          <w:tcPr>
            <w:tcW w:type="dxa" w:w="249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参考样多次测量</w:t>
            </w:r>
          </w:p>
        </w:tc>
      </w:tr>
      <w:tr>
        <w:tc>
          <w:tcPr>
            <w:tcW w:type="dxa" w:w="15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重复性</w:t>
            </w:r>
          </w:p>
        </w:tc>
        <w:tc>
          <w:tcPr>
            <w:tcW w:type="dxa" w:w="24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同条件短期重复的离散</w:t>
            </w:r>
          </w:p>
        </w:tc>
        <w:tc>
          <w:tcPr>
            <w:tcW w:type="dxa" w:w="287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同一电芯重复测 DCIR</w:t>
            </w:r>
          </w:p>
        </w:tc>
        <w:tc>
          <w:tcPr>
            <w:tcW w:type="dxa" w:w="249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固定样品和条件重复</w:t>
            </w:r>
          </w:p>
        </w:tc>
      </w:tr>
      <w:tr>
        <w:tc>
          <w:tcPr>
            <w:tcW w:type="dxa" w:w="15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再现性</w:t>
            </w:r>
          </w:p>
        </w:tc>
        <w:tc>
          <w:tcPr>
            <w:tcW w:type="dxa" w:w="24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人员夹具设备之间的差异</w:t>
            </w:r>
          </w:p>
        </w:tc>
        <w:tc>
          <w:tcPr>
            <w:tcW w:type="dxa" w:w="287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不同夹具通道测得漏率不同</w:t>
            </w:r>
          </w:p>
        </w:tc>
        <w:tc>
          <w:tcPr>
            <w:tcW w:type="dxa" w:w="249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交叉或嵌套研究</w:t>
            </w:r>
          </w:p>
        </w:tc>
      </w:tr>
      <w:tr>
        <w:tc>
          <w:tcPr>
            <w:tcW w:type="dxa" w:w="15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稳定性和线性</w:t>
            </w:r>
          </w:p>
        </w:tc>
        <w:tc>
          <w:tcPr>
            <w:tcW w:type="dxa" w:w="24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随时间或量程变化</w:t>
            </w:r>
          </w:p>
        </w:tc>
        <w:tc>
          <w:tcPr>
            <w:tcW w:type="dxa" w:w="287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电子秤在低高注液量处偏差不同</w:t>
            </w:r>
          </w:p>
        </w:tc>
        <w:tc>
          <w:tcPr>
            <w:tcW w:type="dxa" w:w="249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核查标准和多水平样品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5 过程稳定后才能解释能力指数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NIST 将稳定过程描述为均值、方差和分布随时间保持一致，并明确指出在讨论能力之前应先证明稳定性。[3] 能力分析把这种稳定分布与规格比较。若过程中混入换卷、刀具磨损、设备维护或配方变更，单个 Cpk 会把多个状态压缩为一个数，既不能预测未来，也无法定位风险。</w:t>
      </w:r>
    </w:p>
    <w:p>
      <w:pPr>
        <w:spacing w:before="60" w:after="60"/>
        <w:jc w:val="center"/>
      </w:pPr>
      <m:oMathPara>
        <m:oMath>
          <m:r>
            <m:t>Cp = (USL − LSL) / (6σ)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b w:val="0"/>
          <w:i w:val="0"/>
          <w:color w:val="24364B"/>
          <w:sz w:val="20"/>
        </w:rPr>
        <w:t>Cp 为潜在过程能力指数，无量纲；USL 和 LSL 为规格上限与下限；σ 为稳定过程标准差，单位与特性相同。Cp 只比较分布宽度，不考虑中心偏移。</w:t>
      </w:r>
    </w:p>
    <w:p>
      <w:pPr>
        <w:spacing w:before="60" w:after="60"/>
        <w:jc w:val="center"/>
      </w:pPr>
      <m:oMathPara>
        <m:oMath>
          <m:r>
            <m:t>Cpk = min[(USL − μ)/(3σ), (μ − LSL)/(3σ)]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b w:val="0"/>
          <w:i w:val="0"/>
          <w:color w:val="24364B"/>
          <w:sz w:val="20"/>
        </w:rPr>
        <w:t>Cpk 为考虑中心偏移的过程能力指数，无量纲；μ 为稳定过程均值。若只有单侧规格，应只使用对应一侧的距离。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这些公式通常以近似正态、稳定且代表未来生产的数据为基础。对颗粒数、漏率、强烈偏斜的水分或自放电尾部，应先检查分布和检出限，再采用合适分布、变换或分位数方法。能力阈值还取决于风险、客户要求、抽样不确定度和安全裕量，不能从其他工厂照搬。</w:t>
      </w:r>
    </w:p>
    <w:p>
      <w:pPr>
        <w:pStyle w:val="Heading1"/>
        <w:keepNext/>
        <w:keepLines/>
      </w:pPr>
      <w:r>
        <w:t>6 控制图类型要匹配数据结构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 w:space="0"/>
          <w:left w:val="single" w:sz="6" w:color="D9D9D9" w:space="0"/>
          <w:bottom w:val="single" w:sz="6" w:color="D9D9D9" w:space="0"/>
          <w:right w:val="single" w:sz="6" w:color="D9D9D9" w:space="0"/>
          <w:insideH w:val="single" w:sz="6" w:color="D9D9D9" w:space="0"/>
          <w:insideV w:val="single" w:sz="6" w:color="D9D9D9" w:space="0"/>
        </w:tblBorders>
      </w:tblPr>
      <w:tblGrid>
        <w:gridCol w:w="1650"/>
        <w:gridCol w:w="1700"/>
        <w:gridCol w:w="3300"/>
        <w:gridCol w:w="2710"/>
      </w:tblGrid>
      <w:tr>
        <w:trPr>
          <w:tblHeader w:val="true"/>
        </w:trPr>
        <w:tc>
          <w:tcPr>
            <w:tcW w:type="dxa" w:w="165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数据结构</w:t>
            </w:r>
          </w:p>
        </w:tc>
        <w:tc>
          <w:tcPr>
            <w:tcW w:type="dxa" w:w="170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常用图</w:t>
            </w:r>
          </w:p>
        </w:tc>
        <w:tc>
          <w:tcPr>
            <w:tcW w:type="dxa" w:w="330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适用场景</w:t>
            </w:r>
          </w:p>
        </w:tc>
        <w:tc>
          <w:tcPr>
            <w:tcW w:type="dxa" w:w="271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主要风险</w:t>
            </w:r>
          </w:p>
        </w:tc>
      </w:tr>
      <w:tr>
        <w:tc>
          <w:tcPr>
            <w:tcW w:type="dxa" w:w="16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连续数据 有合理子组</w:t>
            </w:r>
          </w:p>
        </w:tc>
        <w:tc>
          <w:tcPr>
            <w:tcW w:type="dxa" w:w="17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Xbar R 或 Xbar S</w:t>
            </w:r>
          </w:p>
        </w:tc>
        <w:tc>
          <w:tcPr>
            <w:tcW w:type="dxa" w:w="33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同一时段多点厚度 面密度</w:t>
            </w:r>
          </w:p>
        </w:tc>
        <w:tc>
          <w:tcPr>
            <w:tcW w:type="dxa" w:w="271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混合位置会放大组内波动</w:t>
            </w:r>
          </w:p>
        </w:tc>
      </w:tr>
      <w:tr>
        <w:tc>
          <w:tcPr>
            <w:tcW w:type="dxa" w:w="16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连续数据 单值</w:t>
            </w:r>
          </w:p>
        </w:tc>
        <w:tc>
          <w:tcPr>
            <w:tcW w:type="dxa" w:w="17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I MR</w:t>
            </w:r>
          </w:p>
        </w:tc>
        <w:tc>
          <w:tcPr>
            <w:tcW w:type="dxa" w:w="33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逐只注液量 焊接电阻</w:t>
            </w:r>
          </w:p>
        </w:tc>
        <w:tc>
          <w:tcPr>
            <w:tcW w:type="dxa" w:w="271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相邻值自相关会影响限值</w:t>
            </w:r>
          </w:p>
        </w:tc>
      </w:tr>
      <w:tr>
        <w:tc>
          <w:tcPr>
            <w:tcW w:type="dxa" w:w="16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不合格率 样本量可变</w:t>
            </w:r>
          </w:p>
        </w:tc>
        <w:tc>
          <w:tcPr>
            <w:tcW w:type="dxa" w:w="17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p 图</w:t>
            </w:r>
          </w:p>
        </w:tc>
        <w:tc>
          <w:tcPr>
            <w:tcW w:type="dxa" w:w="33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抽检绝缘不合格率</w:t>
            </w:r>
          </w:p>
        </w:tc>
        <w:tc>
          <w:tcPr>
            <w:tcW w:type="dxa" w:w="271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低缺陷率需较长观察窗</w:t>
            </w:r>
          </w:p>
        </w:tc>
      </w:tr>
      <w:tr>
        <w:tc>
          <w:tcPr>
            <w:tcW w:type="dxa" w:w="16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单位缺陷数 机会数可变</w:t>
            </w:r>
          </w:p>
        </w:tc>
        <w:tc>
          <w:tcPr>
            <w:tcW w:type="dxa" w:w="17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u 图</w:t>
            </w:r>
          </w:p>
        </w:tc>
        <w:tc>
          <w:tcPr>
            <w:tcW w:type="dxa" w:w="33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每卷外观缺陷密度</w:t>
            </w:r>
          </w:p>
        </w:tc>
        <w:tc>
          <w:tcPr>
            <w:tcW w:type="dxa" w:w="271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缺陷机会定义必须稳定</w:t>
            </w:r>
          </w:p>
        </w:tc>
      </w:tr>
      <w:tr>
        <w:tc>
          <w:tcPr>
            <w:tcW w:type="dxa" w:w="16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小幅持续漂移</w:t>
            </w:r>
          </w:p>
        </w:tc>
        <w:tc>
          <w:tcPr>
            <w:tcW w:type="dxa" w:w="17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EWMA 或 CUSUM</w:t>
            </w:r>
          </w:p>
        </w:tc>
        <w:tc>
          <w:tcPr>
            <w:tcW w:type="dxa" w:w="33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量具偏倚 温度缓慢漂移</w:t>
            </w:r>
          </w:p>
        </w:tc>
        <w:tc>
          <w:tcPr>
            <w:tcW w:type="dxa" w:w="271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参数选择改变灵敏度与误报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选图前应先确定数据类型、采样频率、合理子组和可能的时间相关性。控制图的价值在于比较今天与稳定基线，而不是自动给出根因。NIST 将 Shewhart、CUSUM、EWMA 和多变量图列为过程监控方法，并强调越界后仍需调查可归属原因。[1][4]</w:t>
      </w:r>
    </w:p>
    <w:p>
      <w:pPr>
        <w:pStyle w:val="Heading1"/>
        <w:keepNext/>
        <w:keepLines/>
      </w:pPr>
      <w:r>
        <w:t>7 反应计划必须规定谁隔离什么</w:t>
      </w:r>
    </w:p>
    <w:p>
      <w:pPr>
        <w:spacing w:after="80" w:line="288" w:lineRule="auto"/>
        <w:numPr>
          <w:ilvl w:val="0"/>
          <w:numId w:val="22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先验证测量系统和样品身份，排除通道失准、夹具接触、温度未平衡和录入错误。</w:t>
      </w:r>
    </w:p>
    <w:p>
      <w:pPr>
        <w:spacing w:after="80" w:line="288" w:lineRule="auto"/>
        <w:numPr>
          <w:ilvl w:val="0"/>
          <w:numId w:val="22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按最后一个已知正常点界定时间窗，立即隔离该窗口内的在制品、成品和后续混料产品。</w:t>
      </w:r>
    </w:p>
    <w:p>
      <w:pPr>
        <w:spacing w:after="80" w:line="288" w:lineRule="auto"/>
        <w:numPr>
          <w:ilvl w:val="0"/>
          <w:numId w:val="22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沿材料批次、设备段、工位、刀位、班次和通道重建共同因素，不只查看平均值。</w:t>
      </w:r>
    </w:p>
    <w:p>
      <w:pPr>
        <w:spacing w:after="80" w:line="288" w:lineRule="auto"/>
        <w:numPr>
          <w:ilvl w:val="0"/>
          <w:numId w:val="22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确认特殊原因后修正工艺，同时用核查样和相邻特性证明测量与过程都已恢复。</w:t>
      </w:r>
    </w:p>
    <w:p>
      <w:pPr>
        <w:spacing w:after="80" w:line="288" w:lineRule="auto"/>
        <w:numPr>
          <w:ilvl w:val="0"/>
          <w:numId w:val="22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规定恢复生产的连续样本、验证项目和审批责任，并保留处置与再发生监控记录。</w:t>
      </w:r>
    </w:p>
    <w:p>
      <w:pPr>
        <w:pStyle w:val="Heading1"/>
        <w:keepNext/>
        <w:keepLines/>
      </w:pPr>
      <w:r>
        <w:t>8 典型故障场景 面密度能力很好但低温内阻漂移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某涂布段月度报表显示面密度 Cpk 持续较高，成品容量也在规格内，但部分卷对应电芯的低温 DCIR 逐周升高。原始数据按每天平均后入库，并把两个涂布头、三个横向位置和两台离线称重设备合并计算。复核发现一台称重设备存在缓慢偏倚，同时边缘位置面密度波动被日均值掩盖。</w:t>
      </w:r>
    </w:p>
    <w:p>
      <w:pPr>
        <w:spacing w:after="80" w:line="288" w:lineRule="auto"/>
        <w:numPr>
          <w:ilvl w:val="0"/>
          <w:numId w:val="23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用核查标准回放两台称重设备的偏倚和稳定性，并冻结受影响时间窗的能力结论。</w:t>
      </w:r>
    </w:p>
    <w:p>
      <w:pPr>
        <w:spacing w:after="80" w:line="288" w:lineRule="auto"/>
        <w:numPr>
          <w:ilvl w:val="0"/>
          <w:numId w:val="23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按涂布头、横向位置、卷号和时间重建原始面密度控制图，停止使用日均值替代时间序列。</w:t>
      </w:r>
    </w:p>
    <w:p>
      <w:pPr>
        <w:spacing w:after="80" w:line="288" w:lineRule="auto"/>
        <w:numPr>
          <w:ilvl w:val="0"/>
          <w:numId w:val="23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把边缘面密度与厚度、孔隙率、残溶和低温 DCIR 关联，确认产品风险路径。</w:t>
      </w:r>
    </w:p>
    <w:p>
      <w:pPr>
        <w:spacing w:after="80" w:line="288" w:lineRule="auto"/>
        <w:numPr>
          <w:ilvl w:val="0"/>
          <w:numId w:val="23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隔离偏倚期间及相邻窗口极卷，用独立方法复测，并扩大到已进入装配的谱系批次。</w:t>
      </w:r>
    </w:p>
    <w:p>
      <w:pPr>
        <w:spacing w:after="80" w:line="288" w:lineRule="auto"/>
        <w:numPr>
          <w:ilvl w:val="0"/>
          <w:numId w:val="23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修正量具和取样方案后重新建立稳定基线，再计算能力并验证低温性能恢复。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诊断原则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高能力指数不能补偿错误的测量系统、混合总体或被平均掉的空间差异。能力分析必须保留产品位置和制造时间。</w:t>
      </w:r>
    </w:p>
    <w:p>
      <w:pPr>
        <w:pStyle w:val="Heading1"/>
        <w:keepNext/>
        <w:keepLines/>
      </w:pPr>
      <w:r>
        <w:t>9 常见误区与本期小结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误区 1  所有点在规格内就代表过程稳定。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规格判断产品是否合格，稳定性需要时间序列和控制图证据。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误区 2  控制限应该等于规格限。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控制限来自过程分布，规格限来自要求，来源和用途不同。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误区 3  Cpk 越高就一定越安全。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量具偏倚、错误分组或删去异常值都可能虚高能力。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误区 4  校准合格就不需要做测量系统分析。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校准不能自动覆盖重复性、再现性、稳定性和实际夹具条件。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误区 5  自动报警等于完成质量控制。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报警之后还需要隔离范围、根因证据、恢复条件和放行责任。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本期小结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制造质量控制的顺序是先定义风险相关特性，再证明测量可信，随后判断过程是否稳定，最后评价能力并执行反应计划。统计工具不能替代工艺知识和谱系数据，但能把异常出现的时间和范围变成可验证的调查线索。</w:t>
      </w:r>
    </w:p>
    <w:p>
      <w:pPr>
        <w:pStyle w:val="Heading1"/>
        <w:keepNext/>
        <w:keepLines/>
      </w:pPr>
      <w:r>
        <w:t>10 思考题与简要答案</w:t>
      </w:r>
    </w:p>
    <w:p>
      <w:pPr>
        <w:keepNext/>
        <w:spacing w:before="100" w:after="60"/>
        <w:numPr>
          <w:ilvl w:val="0"/>
          <w:numId w:val="24"/>
        </w:numPr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为什么规格内的点仍可能触发停线调查？</w:t>
      </w:r>
    </w:p>
    <w:p>
      <w:pPr>
        <w:spacing w:after="100"/>
        <w:ind w:left="360"/>
      </w:pPr>
      <w:r>
        <w:rPr>
          <w:rFonts w:ascii="Microsoft YaHei" w:hAnsi="Microsoft YaHei" w:eastAsia="Microsoft YaHei"/>
          <w:b/>
          <w:i w:val="0"/>
          <w:color w:val="2E7D4F"/>
          <w:sz w:val="21"/>
        </w:rPr>
        <w:t>答：</w:t>
      </w: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因为它可能超出基于稳定过程建立的控制限，说明过程状态已经改变，后续产品风险会上升。</w:t>
      </w:r>
    </w:p>
    <w:p>
      <w:pPr>
        <w:keepNext/>
        <w:spacing w:before="100" w:after="60"/>
        <w:numPr>
          <w:ilvl w:val="0"/>
          <w:numId w:val="24"/>
        </w:numPr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同一电芯重复测量 DCIR 波动很大时应先改工艺吗？</w:t>
      </w:r>
    </w:p>
    <w:p>
      <w:pPr>
        <w:spacing w:after="100"/>
        <w:ind w:left="360"/>
      </w:pPr>
      <w:r>
        <w:rPr>
          <w:rFonts w:ascii="Microsoft YaHei" w:hAnsi="Microsoft YaHei" w:eastAsia="Microsoft YaHei"/>
          <w:b/>
          <w:i w:val="0"/>
          <w:color w:val="2E7D4F"/>
          <w:sz w:val="21"/>
        </w:rPr>
        <w:t>答：</w:t>
      </w: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不应。先检查温度平衡、SOC、夹具接触、通道和测量重复性，再判断真实产品波动。</w:t>
      </w:r>
    </w:p>
    <w:p>
      <w:pPr>
        <w:keepNext/>
        <w:spacing w:before="100" w:after="60"/>
        <w:numPr>
          <w:ilvl w:val="0"/>
          <w:numId w:val="24"/>
        </w:numPr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Cp 高而 Cpk 低通常说明什么？</w:t>
      </w:r>
    </w:p>
    <w:p>
      <w:pPr>
        <w:spacing w:after="100"/>
        <w:ind w:left="360"/>
      </w:pPr>
      <w:r>
        <w:rPr>
          <w:rFonts w:ascii="Microsoft YaHei" w:hAnsi="Microsoft YaHei" w:eastAsia="Microsoft YaHei"/>
          <w:b/>
          <w:i w:val="0"/>
          <w:color w:val="2E7D4F"/>
          <w:sz w:val="21"/>
        </w:rPr>
        <w:t>答：</w:t>
      </w: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过程宽度相对规格不大，但均值偏向某一规格边界；应调查中心偏移而不是只降波动。</w:t>
      </w:r>
    </w:p>
    <w:p>
      <w:pPr>
        <w:keepNext/>
        <w:spacing w:before="100" w:after="60"/>
        <w:numPr>
          <w:ilvl w:val="0"/>
          <w:numId w:val="24"/>
        </w:numPr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为什么不同涂布头不应直接混成一个控制图？</w:t>
      </w:r>
    </w:p>
    <w:p>
      <w:pPr>
        <w:spacing w:after="100"/>
        <w:ind w:left="360"/>
      </w:pPr>
      <w:r>
        <w:rPr>
          <w:rFonts w:ascii="Microsoft YaHei" w:hAnsi="Microsoft YaHei" w:eastAsia="Microsoft YaHei"/>
          <w:b/>
          <w:i w:val="0"/>
          <w:color w:val="2E7D4F"/>
          <w:sz w:val="21"/>
        </w:rPr>
        <w:t>答：</w:t>
      </w: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不同设备可能有不同中心和波动，混合后会扩大控制限并隐藏每个头的特殊原因。</w:t>
      </w:r>
    </w:p>
    <w:p>
      <w:pPr>
        <w:keepNext/>
        <w:spacing w:before="100" w:after="60"/>
        <w:numPr>
          <w:ilvl w:val="0"/>
          <w:numId w:val="24"/>
        </w:numPr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反应计划为什么必须写明最后一个正常点？</w:t>
      </w:r>
    </w:p>
    <w:p>
      <w:pPr>
        <w:spacing w:after="100"/>
        <w:ind w:left="360"/>
      </w:pPr>
      <w:r>
        <w:rPr>
          <w:rFonts w:ascii="Microsoft YaHei" w:hAnsi="Microsoft YaHei" w:eastAsia="Microsoft YaHei"/>
          <w:b/>
          <w:i w:val="0"/>
          <w:color w:val="2E7D4F"/>
          <w:sz w:val="21"/>
        </w:rPr>
        <w:t>答：</w:t>
      </w: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它用于界定可疑时间窗和隔离边界，防止漏掉受影响产品或无差别扩大报废范围。</w:t>
      </w:r>
    </w:p>
    <w:p>
      <w:pPr>
        <w:pStyle w:val="Heading1"/>
        <w:keepNext/>
        <w:keepLines/>
      </w:pPr>
      <w:r>
        <w:t>11 下一期预告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第 09 期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过程验证与变更管理  将从 PFMEA、试验设计、过程窗口、控制计划、生产验证和安全启动建立变更前后的证据链。</w:t>
      </w:r>
    </w:p>
    <w:p>
      <w:pPr>
        <w:pStyle w:val="Heading1"/>
        <w:keepNext/>
        <w:keepLines/>
      </w:pPr>
      <w:r>
        <w:t>附录 来源与延伸阅读</w:t>
      </w:r>
    </w:p>
    <w:p>
      <w:pPr>
        <w:spacing w:after="100" w:line="269" w:lineRule="auto"/>
        <w:ind w:left="259" w:hanging="259"/>
      </w:pPr>
      <w:r>
        <w:rPr>
          <w:rFonts w:ascii="Microsoft YaHei" w:hAnsi="Microsoft YaHei" w:eastAsia="Microsoft YaHei"/>
          <w:b w:val="0"/>
          <w:i w:val="0"/>
          <w:color w:val="24364B"/>
          <w:sz w:val="17"/>
        </w:rPr>
        <w:t>[1] National Institute of Standards and Technology. What Are Control Charts? NIST SEMATECH e-Handbook of Statistical Methods, section 6.3.1. https://www.itl.nist.gov/div898/handbook/pmc/section3/pmc31.htm （访问日期：2026-09-09）。</w:t>
      </w:r>
    </w:p>
    <w:p>
      <w:pPr>
        <w:spacing w:after="100" w:line="269" w:lineRule="auto"/>
        <w:ind w:left="259" w:hanging="259"/>
      </w:pPr>
      <w:r>
        <w:rPr>
          <w:rFonts w:ascii="Microsoft YaHei" w:hAnsi="Microsoft YaHei" w:eastAsia="Microsoft YaHei"/>
          <w:b w:val="0"/>
          <w:i w:val="0"/>
          <w:color w:val="24364B"/>
          <w:sz w:val="17"/>
        </w:rPr>
        <w:t>[2] National Institute of Standards and Technology. Statistical Control of a Measurement Process, section 2.2. https://www.itl.nist.gov/div898/handbook/mpc/section2/mpc2.htm （访问日期：2026-09-09）。</w:t>
      </w:r>
    </w:p>
    <w:p>
      <w:pPr>
        <w:spacing w:after="100" w:line="269" w:lineRule="auto"/>
        <w:ind w:left="259" w:hanging="259"/>
      </w:pPr>
      <w:r>
        <w:rPr>
          <w:rFonts w:ascii="Microsoft YaHei" w:hAnsi="Microsoft YaHei" w:eastAsia="Microsoft YaHei"/>
          <w:b w:val="0"/>
          <w:i w:val="0"/>
          <w:color w:val="24364B"/>
          <w:sz w:val="17"/>
        </w:rPr>
        <w:t>[3] National Institute of Standards and Technology. Assessing Process Stability and Assessing Process Capability, sections 3.4.5 and 3.4.6. https://www.itl.nist.gov/div898/handbook/ppc/section4/ppc45.htm and https://www.itl.nist.gov/div898/handbook/ppc/section4/ppc46.htm （访问日期：2026-09-09）。</w:t>
      </w:r>
    </w:p>
    <w:p>
      <w:pPr>
        <w:spacing w:after="100" w:line="269" w:lineRule="auto"/>
        <w:ind w:left="259" w:hanging="259"/>
      </w:pPr>
      <w:r>
        <w:rPr>
          <w:rFonts w:ascii="Microsoft YaHei" w:hAnsi="Microsoft YaHei" w:eastAsia="Microsoft YaHei"/>
          <w:b w:val="0"/>
          <w:i w:val="0"/>
          <w:color w:val="24364B"/>
          <w:sz w:val="17"/>
        </w:rPr>
        <w:t>[4] National Institute of Standards and Technology. What Are Process Control Techniques? section 6.1.2. https://www.itl.nist.gov/div898/handbook/pmc/section1/pmc12.htm （访问日期：2026-09-09）。</w:t>
      </w:r>
    </w:p>
    <w:p>
      <w:pPr>
        <w:spacing w:after="100" w:line="269" w:lineRule="auto"/>
        <w:ind w:left="259" w:hanging="259"/>
      </w:pPr>
      <w:r>
        <w:rPr>
          <w:rFonts w:ascii="Microsoft YaHei" w:hAnsi="Microsoft YaHei" w:eastAsia="Microsoft YaHei"/>
          <w:b w:val="0"/>
          <w:i w:val="0"/>
          <w:color w:val="24364B"/>
          <w:sz w:val="17"/>
        </w:rPr>
        <w:t>[5] Automotive Industry Action Group. Quality Core Tools and AIAG VDA SPC Manual, version 1, published July 2026. https://www.aiag.org/expertise-areas/quality/quality-core-tools （访问日期：2026-09-09）。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left"/>
      </w:tabs>
    </w:pPr>
    <w:r>
      <w:rPr>
        <w:rFonts w:ascii="Microsoft YaHei" w:hAnsi="Microsoft YaHei" w:eastAsia="Microsoft YaHei"/>
        <w:b w:val="0"/>
        <w:i w:val="0"/>
        <w:color w:val="667085"/>
        <w:sz w:val="17"/>
      </w:rPr>
      <w:t>生成日期：2026-09-08</w:t>
    </w:r>
    <w:r>
      <w:tab/>
    </w:r>
    <w:r>
      <w:rPr>
        <w:rFonts w:ascii="Microsoft YaHei" w:hAnsi="Microsoft YaHei" w:eastAsia="Microsoft YaHei"/>
        <w:b w:val="0"/>
        <w:i w:val="0"/>
        <w:color w:val="667085"/>
        <w:sz w:val="17"/>
      </w:rPr>
      <w:t xml:space="preserve">第 </w:t>
    </w:r>
    <w:r>
      <w:rPr>
        <w:rFonts w:ascii="Microsoft YaHei" w:hAnsi="Microsoft YaHei" w:eastAsia="Microsoft YaHei"/>
        <w:b w:val="0"/>
        <w:i w:val="0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Microsoft YaHei" w:hAnsi="Microsoft YaHei" w:eastAsia="Microsoft YaHei"/>
        <w:b/>
        <w:i w:val="0"/>
        <w:color w:val="000000"/>
        <w:sz w:val="17"/>
      </w:rPr>
      <w:t>动力电池深度学习  |  第 08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abstractNum w:abstractNumId="12">
    <w:nsid w:val="0000000C"/>
    <w:tmpl w:val="A5A5000C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00"/>
      </w:pPr>
    </w:lvl>
  </w:abstractNum>
  <w:num w:numId="13">
    <w:abstractNumId w:val="12"/>
    <w:lvlOverride w:ilvl="0">
      <w:startOverride w:val="1"/>
    </w:lvlOverride>
  </w:num>
  <w:abstractNum w:abstractNumId="13">
    <w:nsid w:val="0000000D"/>
    <w:tmpl w:val="A5A5000D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00"/>
      </w:pPr>
    </w:lvl>
  </w:abstractNum>
  <w:num w:numId="14">
    <w:abstractNumId w:val="13"/>
    <w:lvlOverride w:ilvl="0">
      <w:startOverride w:val="1"/>
    </w:lvlOverride>
  </w:num>
  <w:abstractNum w:abstractNumId="14">
    <w:nsid w:val="0000000E"/>
    <w:tmpl w:val="A5A5000E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00"/>
      </w:pPr>
    </w:lvl>
  </w:abstractNum>
  <w:num w:numId="15">
    <w:abstractNumId w:val="14"/>
    <w:lvlOverride w:ilvl="0">
      <w:startOverride w:val="1"/>
    </w:lvlOverride>
  </w:num>
  <w:num w:numId="16">
    <w:abstractNumId w:val="12"/>
    <w:lvlOverride w:ilvl="0">
      <w:startOverride w:val="1"/>
    </w:lvlOverride>
  </w:num>
  <w:num w:numId="17">
    <w:abstractNumId w:val="13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14"/>
    <w:lvlOverride w:ilvl="0">
      <w:startOverride w:val="1"/>
    </w:lvlOverride>
  </w:num>
  <w:abstractNum w:abstractNumId="15">
    <w:nsid w:val="0000000F"/>
    <w:tmpl w:val="B6B6000F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00"/>
      </w:pPr>
    </w:lvl>
  </w:abstractNum>
  <w:num w:numId="20">
    <w:abstractNumId w:val="15"/>
  </w:num>
  <w:num w:numId="21">
    <w:abstractNumId w:val="15"/>
    <w:lvlOverride w:ilvl="0">
      <w:startOverride w:val="1"/>
    </w:lvlOverride>
  </w:num>
  <w:num w:numId="22">
    <w:abstractNumId w:val="15"/>
    <w:lvlOverride w:ilvl="0">
      <w:startOverride w:val="1"/>
    </w:lvlOverride>
  </w:num>
  <w:num w:numId="23">
    <w:abstractNumId w:val="15"/>
    <w:lvlOverride w:ilvl="0">
      <w:startOverride w:val="1"/>
    </w:lvlOverride>
  </w:num>
  <w:num w:numId="24">
    <w:abstractNumId w:val="1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jc w:val="center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制造质量控制与过程能力</dc:title>
  <dc:subject>动力电池深度学习第08期</dc:subject>
  <dc:creator>动力电池深度学习计划</dc:creator>
  <cp:keywords>动力电池, 锂离子电池, 制造质量, 工程学习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