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60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动力电池深度学习  60 天进阶课程</w:t>
      </w:r>
    </w:p>
    <w:p>
      <w:pPr>
        <w:pStyle w:val="Title"/>
        <w:jc w:val="center"/>
      </w:pPr>
      <w:r>
        <w:t>过程验证与变更管理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31"/>
        </w:rPr>
        <w:t>风险分析  试验设计  生产验证  变更闭环</w:t>
      </w:r>
    </w:p>
    <w:p>
      <w:pPr>
        <w:spacing w:after="920"/>
        <w:jc w:val="center"/>
      </w:pPr>
      <w:r>
        <w:rPr>
          <w:rFonts w:ascii="Microsoft YaHei" w:hAnsi="Microsoft YaHei" w:eastAsia="Microsoft YaHei"/>
          <w:b/>
          <w:i w:val="0"/>
          <w:color w:val="667085"/>
          <w:sz w:val="23"/>
        </w:rPr>
        <w:t>第 09 期  |  2026-09-09  |  制造质量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本期结论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过程窗口不是设备可运行范围，而是能持续满足产品要求并对材料、环境和测量波动保留裕量的已验证范围。任何改变这个证据基础的变更都需要重新评估。</w:t>
      </w:r>
    </w:p>
    <w:p>
      <w:pPr>
        <w:spacing w:after="120" w:line="300" w:lineRule="auto" w:before="360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阅读方法  </w:t>
      </w:r>
      <w:r>
        <w:rPr>
          <w:rFonts w:ascii="Microsoft YaHei" w:hAnsi="Microsoft YaHei" w:eastAsia="Microsoft YaHei"/>
          <w:b w:val="0"/>
          <w:i/>
          <w:color w:val="24364B"/>
          <w:sz w:val="20"/>
        </w:rPr>
        <w:t>沿风险分析、试验设计、生产验证、控制计划和变更闭环阅读，重点识别哪些证据支持放行，哪些变化会使旧证据失效。</w:t>
      </w:r>
    </w:p>
    <w:p>
      <w:r>
        <w:br w:type="page"/>
      </w:r>
    </w:p>
    <w:p>
      <w:pPr>
        <w:pStyle w:val="Heading1"/>
        <w:keepNext/>
        <w:keepLines/>
      </w:pPr>
      <w:r>
        <w:t>1 本期学习目标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把产品功能和失效后果转化为 PFMEA 中的过程功能、失效模式、原因和预防检测控制。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用筛选试验和响应面方法识别主效应、交互作用和具有工程裕量的过程窗口。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区分设备功能确认、运行窗口确认和连续生产验证，避免只用短时样件代表量产能力。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把 PFMEA、过程流程、控制计划、作业标准、测量系统和反应计划保持一致。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按变更影响确定隔离、再验证、安全启动和批准范围，防止无记录的小改动累积成系统风险。</w:t>
      </w:r>
    </w:p>
    <w:p>
      <w:pPr>
        <w:pStyle w:val="Heading1"/>
        <w:keepNext/>
        <w:keepLines/>
      </w:pPr>
      <w:r>
        <w:t>2 过程验证连接风险模型和量产证据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过程开发从产品要求开始。工程团队先识别关键功能和失效路径，再通过试验找到影响最大的输入及其交互作用，随后在预定窗口内验证设备、测量和连续生产。控制计划把这些结果转化为现场监控和反应。变更管理则判断旧证据是否仍适用于新的材料、设备、软件、方法、人员或环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49995"/>
            <wp:docPr id="1" name="Picture 1" descr="过程验证和变更管理示意图，依次连接风险分析、试验设计、过程验证、控制计划和变更闭环，突出变更后需要重新确认原有证据。" title="动力电池制造质量链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9_validation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18"/>
        </w:rPr>
        <w:t>图 1  过程验证与变更证据链  本文绘制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600"/>
        <w:gridCol w:w="2450"/>
        <w:gridCol w:w="3000"/>
        <w:gridCol w:w="2310"/>
      </w:tblGrid>
      <w:tr>
        <w:trPr>
          <w:tblHeader w:val="true"/>
        </w:trPr>
        <w:tc>
          <w:tcPr>
            <w:tcW w:type="dxa" w:w="16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24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核心问题</w:t>
            </w:r>
          </w:p>
        </w:tc>
        <w:tc>
          <w:tcPr>
            <w:tcW w:type="dxa" w:w="30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主要证据</w:t>
            </w:r>
          </w:p>
        </w:tc>
        <w:tc>
          <w:tcPr>
            <w:tcW w:type="dxa" w:w="231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输出去向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风险分析</w:t>
            </w:r>
          </w:p>
        </w:tc>
        <w:tc>
          <w:tcPr>
            <w:tcW w:type="dxa" w:w="24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什么会失效以及为什么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过程功能 失效原因 现有控制</w:t>
            </w:r>
          </w:p>
        </w:tc>
        <w:tc>
          <w:tcPr>
            <w:tcW w:type="dxa" w:w="23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试验因子和控制重点</w:t>
            </w:r>
          </w:p>
        </w:tc>
      </w:tr>
      <w:tr>
        <w:tc>
          <w:tcPr>
            <w:tcW w:type="dxa" w:w="1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试验设计</w:t>
            </w:r>
          </w:p>
        </w:tc>
        <w:tc>
          <w:tcPr>
            <w:tcW w:type="dxa" w:w="24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哪些输入和交互改变输出</w:t>
            </w:r>
          </w:p>
        </w:tc>
        <w:tc>
          <w:tcPr>
            <w:tcW w:type="dxa" w:w="30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随机化 区组 模型 残差和确认试验</w:t>
            </w:r>
          </w:p>
        </w:tc>
        <w:tc>
          <w:tcPr>
            <w:tcW w:type="dxa" w:w="23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过程窗口和敏感度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过程验证</w:t>
            </w:r>
          </w:p>
        </w:tc>
        <w:tc>
          <w:tcPr>
            <w:tcW w:type="dxa" w:w="24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窗口能否在量产条件下重复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设备功能 连续批次 能力和产品性能</w:t>
            </w:r>
          </w:p>
        </w:tc>
        <w:tc>
          <w:tcPr>
            <w:tcW w:type="dxa" w:w="23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批准参数和维护要求</w:t>
            </w:r>
          </w:p>
        </w:tc>
      </w:tr>
      <w:tr>
        <w:tc>
          <w:tcPr>
            <w:tcW w:type="dxa" w:w="1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控制计划</w:t>
            </w:r>
          </w:p>
        </w:tc>
        <w:tc>
          <w:tcPr>
            <w:tcW w:type="dxa" w:w="24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如何监控并在异常时保护产品</w:t>
            </w:r>
          </w:p>
        </w:tc>
        <w:tc>
          <w:tcPr>
            <w:tcW w:type="dxa" w:w="30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测量方法 频率 控制方法 反应计划</w:t>
            </w:r>
          </w:p>
        </w:tc>
        <w:tc>
          <w:tcPr>
            <w:tcW w:type="dxa" w:w="23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现场标准和记录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变更管理</w:t>
            </w:r>
          </w:p>
        </w:tc>
        <w:tc>
          <w:tcPr>
            <w:tcW w:type="dxa" w:w="24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旧证据是否仍然有效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影响评估 对比试验 再验证和批准</w:t>
            </w:r>
          </w:p>
        </w:tc>
        <w:tc>
          <w:tcPr>
            <w:tcW w:type="dxa" w:w="23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新基线和安全启动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 PFMEA 应从过程功能开始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PFMEA 不是缺陷清单。它应先说明每一步工序必须完成什么功能，再描述功能失效的方式、对上级系统和客户的后果、能够造成失效的具体原因，以及预防和检测控制。AIAG 与 VDA 的联合手册把 PFMEA 作为结构化技术风险分析方法，并强调与控制计划的衔接。[1]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600"/>
        <w:gridCol w:w="2600"/>
        <w:gridCol w:w="2480"/>
        <w:gridCol w:w="2680"/>
      </w:tblGrid>
      <w:tr>
        <w:trPr>
          <w:tblHeader w:val="true"/>
        </w:trPr>
        <w:tc>
          <w:tcPr>
            <w:tcW w:type="dxa" w:w="16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PFMEA 元素</w:t>
            </w:r>
          </w:p>
        </w:tc>
        <w:tc>
          <w:tcPr>
            <w:tcW w:type="dxa" w:w="26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电池制造例子</w:t>
            </w:r>
          </w:p>
        </w:tc>
        <w:tc>
          <w:tcPr>
            <w:tcW w:type="dxa" w:w="248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应避免的写法</w:t>
            </w:r>
          </w:p>
        </w:tc>
        <w:tc>
          <w:tcPr>
            <w:tcW w:type="dxa" w:w="268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后续证据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过程功能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焊接形成低阻且耐载荷连接</w:t>
            </w:r>
          </w:p>
        </w:tc>
        <w:tc>
          <w:tcPr>
            <w:tcW w:type="dxa" w:w="24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焊接正常</w:t>
            </w:r>
          </w:p>
        </w:tc>
        <w:tc>
          <w:tcPr>
            <w:tcW w:type="dxa" w:w="26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截面 电阻 拉力和寿命</w:t>
            </w:r>
          </w:p>
        </w:tc>
      </w:tr>
      <w:tr>
        <w:tc>
          <w:tcPr>
            <w:tcW w:type="dxa" w:w="1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失效模式</w:t>
            </w:r>
          </w:p>
        </w:tc>
        <w:tc>
          <w:tcPr>
            <w:tcW w:type="dxa" w:w="2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熔合面积不足或飞溅进入极组</w:t>
            </w:r>
          </w:p>
        </w:tc>
        <w:tc>
          <w:tcPr>
            <w:tcW w:type="dxa" w:w="248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焊接不良</w:t>
            </w:r>
          </w:p>
        </w:tc>
        <w:tc>
          <w:tcPr>
            <w:tcW w:type="dxa" w:w="268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缺陷定义和检出能力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失效原因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能量不足 间隙异常 表面污染</w:t>
            </w:r>
          </w:p>
        </w:tc>
        <w:tc>
          <w:tcPr>
            <w:tcW w:type="dxa" w:w="24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操作员问题</w:t>
            </w:r>
          </w:p>
        </w:tc>
        <w:tc>
          <w:tcPr>
            <w:tcW w:type="dxa" w:w="26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因子范围和防错</w:t>
            </w:r>
          </w:p>
        </w:tc>
      </w:tr>
      <w:tr>
        <w:tc>
          <w:tcPr>
            <w:tcW w:type="dxa" w:w="1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预防控制</w:t>
            </w:r>
          </w:p>
        </w:tc>
        <w:tc>
          <w:tcPr>
            <w:tcW w:type="dxa" w:w="2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参数锁定 清洁标准 夹具定位</w:t>
            </w:r>
          </w:p>
        </w:tc>
        <w:tc>
          <w:tcPr>
            <w:tcW w:type="dxa" w:w="248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加强管理</w:t>
            </w:r>
          </w:p>
        </w:tc>
        <w:tc>
          <w:tcPr>
            <w:tcW w:type="dxa" w:w="268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参数权限和维护记录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检测控制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波形监控 电阻 拉力和视觉</w:t>
            </w:r>
          </w:p>
        </w:tc>
        <w:tc>
          <w:tcPr>
            <w:tcW w:type="dxa" w:w="24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抽检一下</w:t>
            </w:r>
          </w:p>
        </w:tc>
        <w:tc>
          <w:tcPr>
            <w:tcW w:type="dxa" w:w="26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MSA 抽样和反应计划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风险排序用于分配资源，不能代替工程判断。严重度高但发生概率低的安全风险仍可能要求更强预防、检测和升级机制。行动完成后要验证控制确实降低原因发生或提高检出能力，并同步更新控制计划。</w:t>
      </w:r>
    </w:p>
    <w:p>
      <w:pPr>
        <w:pStyle w:val="Heading1"/>
        <w:keepNext/>
        <w:keepLines/>
      </w:pPr>
      <w:r>
        <w:t>4 试验设计用于识别交互和过程边界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单因素试验在改变一个参数时保持其他参数不变，易于解释，但会遗漏交互作用。例如提高烘箱温度的效果可能取决于线速度和排风；增加辊压压力的结果也取决于极片温度、含水量和材料批次。NIST 将筛选设计用于识别重要因子，将响应面设计用于寻找目标、降低波动和定位较易控制的区域。[2]</w:t>
      </w:r>
    </w:p>
    <w:p>
      <w:pPr>
        <w:spacing w:before="60" w:after="60"/>
        <w:jc w:val="center"/>
      </w:pPr>
      <m:oMathPara>
        <m:oMath>
          <m:r>
            <m:t>y = β₀ + Σβᵢxᵢ + Σβᵢⱼxᵢxⱼ + ε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y 为响应，如残溶或剥离强度；xᵢ 和 xⱼ 为编码后的过程因子；β₀ 为截距；βᵢ 为主效应；βᵢⱼ 为两因子交互系数；ε 为未解释误差。y 使用响应单位，编码因子通常无量纲。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随机化用于降低未知时间趋势对效应估计的污染；区组用于隔离已知但非研究重点的批次、设备或日期差异；重复用于估计纯误差；中心点用于检查曲率。NIST 的区组设计指导将可控制的干扰因素放入区组，并在区组内随机化。[3]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650"/>
        <w:gridCol w:w="2200"/>
        <w:gridCol w:w="3300"/>
        <w:gridCol w:w="2210"/>
      </w:tblGrid>
      <w:tr>
        <w:trPr>
          <w:tblHeader w:val="true"/>
        </w:trPr>
        <w:tc>
          <w:tcPr>
            <w:tcW w:type="dxa" w:w="16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目标</w:t>
            </w:r>
          </w:p>
        </w:tc>
        <w:tc>
          <w:tcPr>
            <w:tcW w:type="dxa" w:w="22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合适方法</w:t>
            </w:r>
          </w:p>
        </w:tc>
        <w:tc>
          <w:tcPr>
            <w:tcW w:type="dxa" w:w="33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电池例子</w:t>
            </w:r>
          </w:p>
        </w:tc>
        <w:tc>
          <w:tcPr>
            <w:tcW w:type="dxa" w:w="221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放行前检查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筛选重要因子</w:t>
            </w:r>
          </w:p>
        </w:tc>
        <w:tc>
          <w:tcPr>
            <w:tcW w:type="dxa" w:w="22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全因子或分部因子</w:t>
            </w:r>
          </w:p>
        </w:tc>
        <w:tc>
          <w:tcPr>
            <w:tcW w:type="dxa" w:w="33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线速度 温度 排风 张力对残溶</w:t>
            </w:r>
          </w:p>
        </w:tc>
        <w:tc>
          <w:tcPr>
            <w:tcW w:type="dxa" w:w="22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别名结构和遗漏因子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确认交互作用</w:t>
            </w:r>
          </w:p>
        </w:tc>
        <w:tc>
          <w:tcPr>
            <w:tcW w:type="dxa" w:w="22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因子设计加重复</w:t>
            </w:r>
          </w:p>
        </w:tc>
        <w:tc>
          <w:tcPr>
            <w:tcW w:type="dxa" w:w="33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注液真空与静置时间对浸润</w:t>
            </w:r>
          </w:p>
        </w:tc>
        <w:tc>
          <w:tcPr>
            <w:tcW w:type="dxa" w:w="22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残差 随机化和重复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寻找稳健窗口</w:t>
            </w:r>
          </w:p>
        </w:tc>
        <w:tc>
          <w:tcPr>
            <w:tcW w:type="dxa" w:w="22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响应面和确认试验</w:t>
            </w:r>
          </w:p>
        </w:tc>
        <w:tc>
          <w:tcPr>
            <w:tcW w:type="dxa" w:w="33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辊压压力与温度对孔隙率和附着力</w:t>
            </w:r>
          </w:p>
        </w:tc>
        <w:tc>
          <w:tcPr>
            <w:tcW w:type="dxa" w:w="22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多响应约束和边界裕量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隔离批次影响</w:t>
            </w:r>
          </w:p>
        </w:tc>
        <w:tc>
          <w:tcPr>
            <w:tcW w:type="dxa" w:w="22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区组设计</w:t>
            </w:r>
          </w:p>
        </w:tc>
        <w:tc>
          <w:tcPr>
            <w:tcW w:type="dxa" w:w="33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不同活性材料批次下验证配方</w:t>
            </w:r>
          </w:p>
        </w:tc>
        <w:tc>
          <w:tcPr>
            <w:tcW w:type="dxa" w:w="22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区组与因子不可混淆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 过程窗口必须同时满足多项响应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单个最佳点不等于可量产窗口。可用窗口应同时满足产品规格、过程稳定性、设备重复性、测量不确定度和安全边界，并对材料批次及环境波动留有裕量。若只优化平均容量，可能把工艺推到析锂、残溶、低附着或高气体的边缘。</w:t>
      </w:r>
    </w:p>
    <w:p>
      <w:pPr>
        <w:spacing w:before="60" w:after="60"/>
        <w:jc w:val="center"/>
      </w:pPr>
      <m:oMathPara>
        <m:oMath>
          <m:r>
            <m:t>M = min[(USL − ŷ)/U_y, (ŷ − LSL)/U_y]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M 为示意性的归一化最小裕量，无量纲；ŷ 为模型预测响应；USL 和 LSL 为规格限；U_y 为包含模型不确定度、测量误差和预期波动的工程不确定度尺度，单位与响应相同。该式用于比较候选窗口，不替代组织或客户规定的验证标准。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NIST 把生产过程表征分为筛选、映射和被动观察三个阶段。新过程或重大工程变更通常需要重新执行前两阶段；在标称条件下的被动观察用于确认稳定性和能力。[4] 因此，变更后的短时首件合格不能替代窗口映射和连续生产证据。</w:t>
      </w:r>
    </w:p>
    <w:p>
      <w:pPr>
        <w:pStyle w:val="Heading1"/>
        <w:keepNext/>
        <w:keepLines/>
      </w:pPr>
      <w:r>
        <w:t>6 验证必须覆盖设备运行和产品表现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850"/>
        <w:gridCol w:w="2580"/>
        <w:gridCol w:w="2800"/>
        <w:gridCol w:w="2130"/>
      </w:tblGrid>
      <w:tr>
        <w:trPr>
          <w:tblHeader w:val="true"/>
        </w:trPr>
        <w:tc>
          <w:tcPr>
            <w:tcW w:type="dxa" w:w="18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验证层次</w:t>
            </w:r>
          </w:p>
        </w:tc>
        <w:tc>
          <w:tcPr>
            <w:tcW w:type="dxa" w:w="258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要证明什么</w:t>
            </w:r>
          </w:p>
        </w:tc>
        <w:tc>
          <w:tcPr>
            <w:tcW w:type="dxa" w:w="28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典型记录</w:t>
            </w:r>
          </w:p>
        </w:tc>
        <w:tc>
          <w:tcPr>
            <w:tcW w:type="dxa" w:w="213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常见遗漏</w:t>
            </w:r>
          </w:p>
        </w:tc>
      </w:tr>
      <w:tr>
        <w:tc>
          <w:tcPr>
            <w:tcW w:type="dxa" w:w="18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设备与基础条件</w:t>
            </w:r>
          </w:p>
        </w:tc>
        <w:tc>
          <w:tcPr>
            <w:tcW w:type="dxa" w:w="25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安装 功能 安全联锁和校准可用</w:t>
            </w:r>
          </w:p>
        </w:tc>
        <w:tc>
          <w:tcPr>
            <w:tcW w:type="dxa" w:w="28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资产 软件版本 传感器 校准 联锁测试</w:t>
            </w:r>
          </w:p>
        </w:tc>
        <w:tc>
          <w:tcPr>
            <w:tcW w:type="dxa" w:w="213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只验主机不验公用工程</w:t>
            </w:r>
          </w:p>
        </w:tc>
      </w:tr>
      <w:tr>
        <w:tc>
          <w:tcPr>
            <w:tcW w:type="dxa" w:w="18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运行窗口</w:t>
            </w:r>
          </w:p>
        </w:tc>
        <w:tc>
          <w:tcPr>
            <w:tcW w:type="dxa" w:w="258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参数上下边界和交互可控</w:t>
            </w:r>
          </w:p>
        </w:tc>
        <w:tc>
          <w:tcPr>
            <w:tcW w:type="dxa" w:w="28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DOE 结果 极限条件 故障恢复</w:t>
            </w:r>
          </w:p>
        </w:tc>
        <w:tc>
          <w:tcPr>
            <w:tcW w:type="dxa" w:w="213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只验证中心点</w:t>
            </w:r>
          </w:p>
        </w:tc>
      </w:tr>
      <w:tr>
        <w:tc>
          <w:tcPr>
            <w:tcW w:type="dxa" w:w="18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连续生产</w:t>
            </w:r>
          </w:p>
        </w:tc>
        <w:tc>
          <w:tcPr>
            <w:tcW w:type="dxa" w:w="258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人员材料设备节拍下可重复</w:t>
            </w:r>
          </w:p>
        </w:tc>
        <w:tc>
          <w:tcPr>
            <w:tcW w:type="dxa" w:w="28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连续批次 稳定性 能力 良率</w:t>
            </w:r>
          </w:p>
        </w:tc>
        <w:tc>
          <w:tcPr>
            <w:tcW w:type="dxa" w:w="213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用实验室样件代替量产</w:t>
            </w:r>
          </w:p>
        </w:tc>
      </w:tr>
      <w:tr>
        <w:tc>
          <w:tcPr>
            <w:tcW w:type="dxa" w:w="18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产品性能</w:t>
            </w:r>
          </w:p>
        </w:tc>
        <w:tc>
          <w:tcPr>
            <w:tcW w:type="dxa" w:w="258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短期指标与寿命安全风险闭环</w:t>
            </w:r>
          </w:p>
        </w:tc>
        <w:tc>
          <w:tcPr>
            <w:tcW w:type="dxa" w:w="28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容量 DCIR 循环 低温和安全验证</w:t>
            </w:r>
          </w:p>
        </w:tc>
        <w:tc>
          <w:tcPr>
            <w:tcW w:type="dxa" w:w="213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只看常温首圈容量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验证方案应在试验前冻结目标、样本来源、边界条件、测量方法、统计方法、接受准则和异常处理。若先看结果再改准则，结论会受到选择偏差。未达到准则时，应记录偏差、影响范围和补充证据，不应删除不利数据后重新计算。</w:t>
      </w:r>
    </w:p>
    <w:p>
      <w:pPr>
        <w:pStyle w:val="Heading1"/>
        <w:keepNext/>
        <w:keepLines/>
      </w:pPr>
      <w:r>
        <w:t>7 控制计划把验证结果转换为现场执行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控制计划至少要明确工序、产品或过程特性、规格或控制方法、测量系统、样本量与频率、记录位置、责任角色和反应计划。AIAG 在 2024 年发布独立的 Control Plan 第一版，并在 APQP 第三版中增加变更管理、风险缓解和零件追溯等内容。[5][6] 企业仍需结合客户特殊要求和现行合同确定具体提交与批准规则。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逐项检查 PFMEA 的高风险原因是否在控制计划中有可执行的预防或检测控制。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把控制计划参数与设备配方、作业标准和数据字段建立唯一映射，避免同名不同义。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对抽样特性说明取样位置、时间基准和随机方式，并确认测量系统适用。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为超限、趋势、设备报警和测量失效分别定义隔离边界、升级责任和恢复条件。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任何变更批准后同步更新文件版本、权限、培训、软件配方和追溯字段。</w:t>
      </w:r>
    </w:p>
    <w:p>
      <w:pPr>
        <w:pStyle w:val="Heading1"/>
        <w:keepNext/>
        <w:keepLines/>
      </w:pPr>
      <w:r>
        <w:t>8 变更影响决定再验证范围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变更评估不应只看文件名称，而应看它是否改变产品风险、过程机理、测量能力或既有证据的适用范围。材料供应商、配方比例、设备硬件、控制软件、工装夹具、参数窗口、抽样方法、返工流程、厂房环境和生产地点都可能触发不同程度的再验证。</w:t>
      </w:r>
    </w:p>
    <w:p>
      <w:pPr>
        <w:spacing w:before="60" w:after="60"/>
        <w:jc w:val="center"/>
      </w:pPr>
      <m:oMathPara>
        <m:oMath>
          <m:r>
            <m:t>Δ_k = μ_after,k − μ_before,k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Δ_k 为变更前后第 k 项响应均值之差；μ_after,k 和 μ_before,k 分别为变更后与变更前在可比条件下的均值。各项使用响应本身的单位。实际判定还应结合置信区间、测量误差、样本量和预先规定的等同性界限。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700"/>
        <w:gridCol w:w="2800"/>
        <w:gridCol w:w="2700"/>
        <w:gridCol w:w="2160"/>
      </w:tblGrid>
      <w:tr>
        <w:trPr>
          <w:tblHeader w:val="true"/>
        </w:trPr>
        <w:tc>
          <w:tcPr>
            <w:tcW w:type="dxa" w:w="17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变更类型</w:t>
            </w:r>
          </w:p>
        </w:tc>
        <w:tc>
          <w:tcPr>
            <w:tcW w:type="dxa" w:w="28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示例</w:t>
            </w:r>
          </w:p>
        </w:tc>
        <w:tc>
          <w:tcPr>
            <w:tcW w:type="dxa" w:w="27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主要影响</w:t>
            </w:r>
          </w:p>
        </w:tc>
        <w:tc>
          <w:tcPr>
            <w:tcW w:type="dxa" w:w="21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最低行动</w:t>
            </w:r>
          </w:p>
        </w:tc>
      </w:tr>
      <w:tr>
        <w:tc>
          <w:tcPr>
            <w:tcW w:type="dxa" w:w="1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材料</w:t>
            </w:r>
          </w:p>
        </w:tc>
        <w:tc>
          <w:tcPr>
            <w:tcW w:type="dxa" w:w="28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粘结剂牌号或电解液供应商变化</w:t>
            </w:r>
          </w:p>
        </w:tc>
        <w:tc>
          <w:tcPr>
            <w:tcW w:type="dxa" w:w="2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反应界面 流变 浸润和寿命</w:t>
            </w:r>
          </w:p>
        </w:tc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等同性分析 对比试验 谱系隔离</w:t>
            </w:r>
          </w:p>
        </w:tc>
      </w:tr>
      <w:tr>
        <w:tc>
          <w:tcPr>
            <w:tcW w:type="dxa" w:w="1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设备与工装</w:t>
            </w:r>
          </w:p>
        </w:tc>
        <w:tc>
          <w:tcPr>
            <w:tcW w:type="dxa" w:w="28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涂布头 焊接夹具 烘箱风道改造</w:t>
            </w:r>
          </w:p>
        </w:tc>
        <w:tc>
          <w:tcPr>
            <w:tcW w:type="dxa" w:w="2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空间分布 能量传递和重复性</w:t>
            </w:r>
          </w:p>
        </w:tc>
        <w:tc>
          <w:tcPr>
            <w:tcW w:type="dxa" w:w="216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功能确认 窗口复核 连续批验证</w:t>
            </w:r>
          </w:p>
        </w:tc>
      </w:tr>
      <w:tr>
        <w:tc>
          <w:tcPr>
            <w:tcW w:type="dxa" w:w="1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软件与参数</w:t>
            </w:r>
          </w:p>
        </w:tc>
        <w:tc>
          <w:tcPr>
            <w:tcW w:type="dxa" w:w="28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PLC 版本 采样滤波 配方上限变化</w:t>
            </w:r>
          </w:p>
        </w:tc>
        <w:tc>
          <w:tcPr>
            <w:tcW w:type="dxa" w:w="2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控制逻辑 数据解释和防错</w:t>
            </w:r>
          </w:p>
        </w:tc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代码版本测试 权限和回退</w:t>
            </w:r>
          </w:p>
        </w:tc>
      </w:tr>
      <w:tr>
        <w:tc>
          <w:tcPr>
            <w:tcW w:type="dxa" w:w="1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方法与测量</w:t>
            </w:r>
          </w:p>
        </w:tc>
        <w:tc>
          <w:tcPr>
            <w:tcW w:type="dxa" w:w="28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取样位置 量具 算法或判定规则变化</w:t>
            </w:r>
          </w:p>
        </w:tc>
        <w:tc>
          <w:tcPr>
            <w:tcW w:type="dxa" w:w="2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历史基线可比性和误判</w:t>
            </w:r>
          </w:p>
        </w:tc>
        <w:tc>
          <w:tcPr>
            <w:tcW w:type="dxa" w:w="216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MSA 相关性和基线重建</w:t>
            </w:r>
          </w:p>
        </w:tc>
      </w:tr>
      <w:tr>
        <w:tc>
          <w:tcPr>
            <w:tcW w:type="dxa" w:w="1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地点与环境</w:t>
            </w:r>
          </w:p>
        </w:tc>
        <w:tc>
          <w:tcPr>
            <w:tcW w:type="dxa" w:w="28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设备搬迁 干燥房气流或公用工程变化</w:t>
            </w:r>
          </w:p>
        </w:tc>
        <w:tc>
          <w:tcPr>
            <w:tcW w:type="dxa" w:w="2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温湿度 振动 污染和供能</w:t>
            </w:r>
          </w:p>
        </w:tc>
        <w:tc>
          <w:tcPr>
            <w:tcW w:type="dxa" w:w="21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环境映射和再验证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 安全启动用于控制变更后的早期不确定性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安全启动是在新产品、新过程或重要变更后的有限时期内增加检测、审核和升级频率。它不是永久加严抽检，也不能替代过程验证。退出条件应在启动前定义，包括连续合格批次、关键特性稳定、异常关闭、测量系统正常和产品验证完成。若期间出现新失效模式，应重新评估 PFMEA 和控制计划，而不是简单延长观察天数。</w:t>
      </w:r>
    </w:p>
    <w:p>
      <w:pPr>
        <w:spacing w:before="60" w:after="60"/>
        <w:jc w:val="center"/>
      </w:pPr>
      <m:oMathPara>
        <m:oMath>
          <m:r>
            <m:t>Risk_after = S × P_residual × D_residual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Risk_after 为变更后用于比较的示意风险量；S 为后果严重度；P_residual 为实施预防后原因残余发生可能性；D_residual 为现有检测下漏检可能性。三项通常采用组织定义的序数量表，因此乘积不应被解释为物理概率，也不能代替行动优先级和专业判断。</w:t>
      </w:r>
    </w:p>
    <w:p>
      <w:pPr>
        <w:pStyle w:val="Heading1"/>
        <w:keepNext/>
        <w:keepLines/>
      </w:pPr>
      <w:r>
        <w:t>10 典型故障场景 烘箱风道改造后剥离强度下降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某产线为提升排风效率改造第二烘箱区风道。首件面密度、厚度和残溶均合格，因此未重新验证干燥窗口。两周后，部分极卷在辊压和分切后出现集流体侧剥离强度下降，电芯直流内阻离散增大。调查发现改造改变了横向传热和表面蒸发速率，原有单点取样没有覆盖边缘区域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冻结变更后的极卷和对应电芯谱系，按改造时间、烘箱横向位置、卷号和班次确定隔离范围。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恢复并校验温度、风速、排风和残溶测量，增加横向截面、粘结剂分布和剥离强度取样。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以线速度、分区温度、排风和位置为因子设计对比试验，区组化材料批次并保留中心点。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在候选窗口下连续生产多卷，验证面密度、残溶、附着、孔隙率、DCIR 和循环性能。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更新 PFMEA、控制计划、维护标准和变更审批，设定安全启动退出条件后再恢复常规控制。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诊断原则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设备改造即使没有改变设定值，也可能改变热质传递和空间分布。验证对象应是实际物理过程，而不是参数界面上的数字。</w:t>
      </w:r>
    </w:p>
    <w:p>
      <w:pPr>
        <w:pStyle w:val="Heading1"/>
        <w:keepNext/>
        <w:keepLines/>
      </w:pPr>
      <w:r>
        <w:t>11 常见误区与本期小结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1  PFMEA 分数低就不需要验证。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风险表是当前知识的模型，验证用于检验这个模型是否正确。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2  单因素试验足以找到最佳参数。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多个制造因子存在交互，单因素试验可能给出错误窗口。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3  首件合格就代表过程已验证。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首件只能证明特定时刻和条件，不能证明长期重复性和材料批次适应性。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4  参数没变就不算过程变更。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风道、夹具、软件滤波和取样位置都可能改变实际过程或证据。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5  安全启动就是永久增加全检。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它是有进入和退出准则的临时控制，并要求异常反馈到风险和控制文件。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本期小结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过程验证从风险分析开始，用试验设计建立因果和窗口，用连续生产证明可重复，再由控制计划固化为现场行动。变更管理的核心是判断旧证据是否仍适用，并用隔离、再验证和安全启动控制新的不确定性。</w:t>
      </w:r>
    </w:p>
    <w:p>
      <w:pPr>
        <w:pStyle w:val="Heading1"/>
        <w:keepNext/>
        <w:keepLines/>
      </w:pPr>
      <w:r>
        <w:t>12 思考题与简要答案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为什么 PFMEA 应先写过程功能再写缺陷？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只有明确工序必须完成的功能，才能准确描述失效模式、后果、原因和所需控制。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DOE 中区组和随机化分别解决什么问题？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区组隔离已知干扰因素，随机化降低未控制时间趋势和其他未知因素对效应估计的系统污染。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为什么过程窗口不能只验证中心点？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多个因子存在交互，量产也会在窗口内波动，需要证明上下边界仍能满足多项响应和安全裕量。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为什么软件滤波变化可能触发再验证？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滤波会改变报警、趋势和历史基线的可比性，可能掩盖真实变化或增加误报。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安全启动何时可以退出？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在预先定义的连续合格批次、关键特性稳定、异常关闭、测量正常和产品验证完成后，经批准退出。</w:t>
      </w:r>
    </w:p>
    <w:p>
      <w:pPr>
        <w:pStyle w:val="Heading1"/>
        <w:keepNext/>
        <w:keepLines/>
      </w:pPr>
      <w:r>
        <w:t>13 下一期预告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第 10 期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制造缺陷图谱与根因分析  将从颗粒、毛刺、错位、焊接、密封、浸润和化成异常建立缺陷到电芯结果的诊断路径。</w:t>
      </w:r>
    </w:p>
    <w:p>
      <w:pPr>
        <w:pStyle w:val="Heading1"/>
        <w:keepNext/>
        <w:keepLines/>
      </w:pPr>
      <w:r>
        <w:t>附录 来源与延伸阅读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[1] Automotive Industry Action Group. AIAG and VDA FMEA Handbook, first edition, second printing. https://www.aiag.org/training-and-resources/manuals/details/FMEAAV-1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[2] National Institute of Standards and Technology. Choosing an Experimental Design, NIST SEMATECH e-Handbook, section 5.3. https://www.itl.nist.gov/div898/handbook/pri/section3/pri3.htm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[3] National Institute of Standards and Technology. Randomized Block Designs, section 5.3.3.2. https://www.itl.nist.gov/div898/handbook/pri/section3/pri332.htm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[4] National Institute of Standards and Technology. What Is Production Process Characterization? section 3.1.1. https://www.itl.nist.gov/div898/handbook/ppc/section1/ppc11.htm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[5] Automotive Industry Action Group. Advanced Product Quality Planning, third edition, including change management, risk mitigation and part traceability. https://www.aiag.org/training-and-resources/manuals/details/APQP-3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[6] Automotive Industry Action Group. Control Plan, first edition, published March 2024. https://www.aiag.org/training-and-resources/manuals （访问日期：2026-09-09）。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left"/>
      </w:tabs>
    </w:pPr>
    <w:r>
      <w:rPr>
        <w:rFonts w:ascii="Microsoft YaHei" w:hAnsi="Microsoft YaHei" w:eastAsia="Microsoft YaHei"/>
        <w:b w:val="0"/>
        <w:i w:val="0"/>
        <w:color w:val="667085"/>
        <w:sz w:val="17"/>
      </w:rPr>
      <w:t>生成日期：2026-09-09</w:t>
    </w:r>
    <w:r>
      <w:tab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Microsoft YaHei" w:hAnsi="Microsoft YaHei" w:eastAsia="Microsoft YaHei"/>
        <w:b/>
        <w:i w:val="0"/>
        <w:color w:val="000000"/>
        <w:sz w:val="17"/>
      </w:rPr>
      <w:t>动力电池深度学习  |  第 09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abstractNum w:abstractNumId="12">
    <w:nsid w:val="0000000C"/>
    <w:tmpl w:val="A5A5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3">
    <w:abstractNumId w:val="12"/>
    <w:lvlOverride w:ilvl="0">
      <w:startOverride w:val="1"/>
    </w:lvlOverride>
  </w:num>
  <w:abstractNum w:abstractNumId="13">
    <w:nsid w:val="0000000D"/>
    <w:tmpl w:val="A5A5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4">
    <w:abstractNumId w:val="13"/>
    <w:lvlOverride w:ilvl="0">
      <w:startOverride w:val="1"/>
    </w:lvlOverride>
  </w:num>
  <w:abstractNum w:abstractNumId="14">
    <w:nsid w:val="0000000E"/>
    <w:tmpl w:val="A5A5000E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5">
    <w:abstractNumId w:val="14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4"/>
    <w:lvlOverride w:ilvl="0">
      <w:startOverride w:val="1"/>
    </w:lvlOverride>
  </w:num>
  <w:abstractNum w:abstractNumId="15">
    <w:nsid w:val="0000000F"/>
    <w:tmpl w:val="B6B6000F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20">
    <w:abstractNumId w:val="15"/>
  </w:num>
  <w:num w:numId="21">
    <w:abstractNumId w:val="15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过程验证与变更管理</dc:title>
  <dc:subject>动力电池深度学习第09期</dc:subject>
  <dc:creator>动力电池深度学习计划</dc:creator>
  <cp:keywords>动力电池, 锂离子电池, 制造质量, 工程学习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