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600"/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25"/>
        </w:rPr>
        <w:t>动力电池深度学习  60 天进阶课程</w:t>
      </w:r>
    </w:p>
    <w:p>
      <w:pPr>
        <w:pStyle w:val="Title"/>
        <w:jc w:val="center"/>
      </w:pPr>
      <w:r>
        <w:t>制造缺陷图谱与根因分析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 w:val="0"/>
          <w:i w:val="0"/>
          <w:color w:val="000000"/>
          <w:sz w:val="31"/>
        </w:rPr>
        <w:t>缺陷分类  机理链条  检测策略  证据闭环</w:t>
      </w:r>
    </w:p>
    <w:p>
      <w:pPr>
        <w:spacing w:after="920"/>
        <w:jc w:val="center"/>
      </w:pPr>
      <w:r>
        <w:rPr>
          <w:rFonts w:ascii="Microsoft YaHei" w:hAnsi="Microsoft YaHei" w:eastAsia="Microsoft YaHei"/>
          <w:b/>
          <w:i w:val="0"/>
          <w:color w:val="667085"/>
          <w:sz w:val="23"/>
        </w:rPr>
        <w:t>第 10 期  |  2026-09-10  |  制造质量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本期结论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缺陷名称不是根因。有效诊断必须把缺陷的空间形貌、形成工序、局部电化学后果和谱系证据串成可证伪的因果链，再用复现试验关闭假设。</w:t>
      </w:r>
    </w:p>
    <w:p>
      <w:pPr>
        <w:spacing w:after="120" w:line="300" w:lineRule="auto" w:before="360"/>
      </w:pPr>
      <w:r>
        <w:rPr>
          <w:rFonts w:ascii="Microsoft YaHei" w:hAnsi="Microsoft YaHei" w:eastAsia="Microsoft YaHei"/>
          <w:b/>
          <w:i w:val="0"/>
          <w:color w:val="17365D"/>
          <w:sz w:val="20"/>
        </w:rPr>
        <w:t xml:space="preserve">阅读方法  </w:t>
      </w:r>
      <w:r>
        <w:rPr>
          <w:rFonts w:ascii="Microsoft YaHei" w:hAnsi="Microsoft YaHei" w:eastAsia="Microsoft YaHei"/>
          <w:b w:val="0"/>
          <w:i/>
          <w:color w:val="24364B"/>
          <w:sz w:val="20"/>
        </w:rPr>
        <w:t>先按工序和位置建立缺陷语言，再学习风险优先级、检测能力和根因验证，最后用一个跨工序案例练习隔离、复现与放行。</w:t>
      </w:r>
    </w:p>
    <w:p>
      <w:r>
        <w:br w:type="page"/>
      </w:r>
    </w:p>
    <w:p>
      <w:pPr>
        <w:pStyle w:val="Heading1"/>
        <w:keepNext/>
        <w:keepLines/>
      </w:pPr>
      <w:r>
        <w:t>1 本期学习目标</w:t>
      </w:r>
    </w:p>
    <w:p>
      <w:pPr>
        <w:spacing w:after="80" w:line="288" w:lineRule="auto"/>
        <w:numPr>
          <w:ilvl w:val="0"/>
          <w:numId w:val="21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按颗粒、孔洞、裂纹、毛刺、错位、污染、焊接、密封、浸润和化成异常建立统一缺陷语言。</w:t>
      </w:r>
    </w:p>
    <w:p>
      <w:pPr>
        <w:spacing w:after="80" w:line="288" w:lineRule="auto"/>
        <w:numPr>
          <w:ilvl w:val="0"/>
          <w:numId w:val="21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把缺陷的二维外观、三维位置和随时间变化与容量、内阻、寿命及安全后果连接起来。</w:t>
      </w:r>
    </w:p>
    <w:p>
      <w:pPr>
        <w:spacing w:after="80" w:line="288" w:lineRule="auto"/>
        <w:numPr>
          <w:ilvl w:val="0"/>
          <w:numId w:val="21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用发生概率、后果严重度、检出能力和逃逸窗口确定诊断优先级。</w:t>
      </w:r>
    </w:p>
    <w:p>
      <w:pPr>
        <w:spacing w:after="80" w:line="288" w:lineRule="auto"/>
        <w:numPr>
          <w:ilvl w:val="0"/>
          <w:numId w:val="21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区分相关性、形成机理和根因，使用对照、复现与反证缩小假设空间。</w:t>
      </w:r>
    </w:p>
    <w:p>
      <w:pPr>
        <w:spacing w:after="80" w:line="288" w:lineRule="auto"/>
        <w:numPr>
          <w:ilvl w:val="0"/>
          <w:numId w:val="21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设计包含隔离、谱系追溯、复验、措施验证和再发生监控的闭环流程。</w:t>
      </w:r>
    </w:p>
    <w:p>
      <w:pPr>
        <w:pStyle w:val="Heading1"/>
        <w:keepNext/>
        <w:keepLines/>
      </w:pPr>
      <w:r>
        <w:t>2 建立系统视角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制造缺陷既可能来自单一工序，也可能是多个微小偏差的叠加。极片上的针孔可以源于浆料气泡、异物遮挡或涂布润湿异常；成品内阻离散则可能来自极片、装配、焊接、浸润和化成中的任何一环。只凭终检结果倒推工序，容易把相关信号误当根因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统一缺陷语言应包含对象、位置、尺度、方向、数量、严重度和观察方法。例如“正极 A 面距边缘 8 mm、沿机器方向连续 120 mm 的漏涂带”比“涂布不良”更能支持追溯和复现。描述应先陈述观察事实，再记录推断。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ORNL 的受控制造研究表明，不同涂布缺陷并不产生相同后果。漏涂面积和边界形态、团聚、针孔及金属污染对倍率和循环的影响不同，因此缺陷限值不能只依据肉眼大小，还要连接具体电芯设计和工况证据。[1][2]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49995"/>
            <wp:docPr id="1" name="Picture 1" descr="制造缺陷根因分析示意图，依次连接缺陷表征、谱系定位、机理假设、复现验证和闭环控制。" title="动力电池制造质量链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0_ch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49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18"/>
        </w:rPr>
        <w:t>图 1  从缺陷现象到根因闭环的证据路径  本文绘制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 w:space="0"/>
          <w:left w:val="single" w:sz="6" w:color="D9D9D9" w:space="0"/>
          <w:bottom w:val="single" w:sz="6" w:color="D9D9D9" w:space="0"/>
          <w:right w:val="single" w:sz="6" w:color="D9D9D9" w:space="0"/>
          <w:insideH w:val="single" w:sz="6" w:color="D9D9D9" w:space="0"/>
          <w:insideV w:val="single" w:sz="6" w:color="D9D9D9" w:space="0"/>
        </w:tblBorders>
      </w:tblPr>
      <w:tblGrid>
        <w:gridCol w:w="1650"/>
        <w:gridCol w:w="2350"/>
        <w:gridCol w:w="2500"/>
        <w:gridCol w:w="2860"/>
      </w:tblGrid>
      <w:tr>
        <w:trPr>
          <w:tblHeader w:val="true"/>
        </w:trPr>
        <w:tc>
          <w:tcPr>
            <w:tcW w:type="dxa" w:w="165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缺陷家族</w:t>
            </w:r>
          </w:p>
        </w:tc>
        <w:tc>
          <w:tcPr>
            <w:tcW w:type="dxa" w:w="235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可见证据</w:t>
            </w:r>
          </w:p>
        </w:tc>
        <w:tc>
          <w:tcPr>
            <w:tcW w:type="dxa" w:w="25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潜在形成工序</w:t>
            </w:r>
          </w:p>
        </w:tc>
        <w:tc>
          <w:tcPr>
            <w:tcW w:type="dxa" w:w="286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可能后果</w:t>
            </w:r>
          </w:p>
        </w:tc>
      </w:tr>
      <w:tr>
        <w:tc>
          <w:tcPr>
            <w:tcW w:type="dxa" w:w="16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涂布与颗粒</w:t>
            </w:r>
          </w:p>
        </w:tc>
        <w:tc>
          <w:tcPr>
            <w:tcW w:type="dxa" w:w="23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针孔 团聚 漏涂 条纹</w:t>
            </w:r>
          </w:p>
        </w:tc>
        <w:tc>
          <w:tcPr>
            <w:tcW w:type="dxa" w:w="25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混料 过滤 涂布 干燥</w:t>
            </w:r>
          </w:p>
        </w:tc>
        <w:tc>
          <w:tcPr>
            <w:tcW w:type="dxa" w:w="286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局部负载失衡 极化 容量衰减</w:t>
            </w:r>
          </w:p>
        </w:tc>
      </w:tr>
      <w:tr>
        <w:tc>
          <w:tcPr>
            <w:tcW w:type="dxa" w:w="16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边缘与机械</w:t>
            </w:r>
          </w:p>
        </w:tc>
        <w:tc>
          <w:tcPr>
            <w:tcW w:type="dxa" w:w="23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毛刺 掉粉 裂纹 褶皱</w:t>
            </w:r>
          </w:p>
        </w:tc>
        <w:tc>
          <w:tcPr>
            <w:tcW w:type="dxa" w:w="25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辊压 分切 模切 卷绕</w:t>
            </w:r>
          </w:p>
        </w:tc>
        <w:tc>
          <w:tcPr>
            <w:tcW w:type="dxa" w:w="286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隔膜损伤 接触损失 微短路</w:t>
            </w:r>
          </w:p>
        </w:tc>
      </w:tr>
      <w:tr>
        <w:tc>
          <w:tcPr>
            <w:tcW w:type="dxa" w:w="16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装配与对齐</w:t>
            </w:r>
          </w:p>
        </w:tc>
        <w:tc>
          <w:tcPr>
            <w:tcW w:type="dxa" w:w="23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极片错位 隔膜褶皱 异物</w:t>
            </w:r>
          </w:p>
        </w:tc>
        <w:tc>
          <w:tcPr>
            <w:tcW w:type="dxa" w:w="25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叠片 卷绕 入壳</w:t>
            </w:r>
          </w:p>
        </w:tc>
        <w:tc>
          <w:tcPr>
            <w:tcW w:type="dxa" w:w="286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局部过充 锂析出 内短路</w:t>
            </w:r>
          </w:p>
        </w:tc>
      </w:tr>
      <w:tr>
        <w:tc>
          <w:tcPr>
            <w:tcW w:type="dxa" w:w="16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连接与密封</w:t>
            </w:r>
          </w:p>
        </w:tc>
        <w:tc>
          <w:tcPr>
            <w:tcW w:type="dxa" w:w="23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虚焊 飞溅 漏液 封边皱</w:t>
            </w:r>
          </w:p>
        </w:tc>
        <w:tc>
          <w:tcPr>
            <w:tcW w:type="dxa" w:w="25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焊接 封装 注液</w:t>
            </w:r>
          </w:p>
        </w:tc>
        <w:tc>
          <w:tcPr>
            <w:tcW w:type="dxa" w:w="286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阻抗发热 腐蚀 失气 密封失效</w:t>
            </w:r>
          </w:p>
        </w:tc>
      </w:tr>
      <w:tr>
        <w:tc>
          <w:tcPr>
            <w:tcW w:type="dxa" w:w="16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浸润与化成</w:t>
            </w:r>
          </w:p>
        </w:tc>
        <w:tc>
          <w:tcPr>
            <w:tcW w:type="dxa" w:w="23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气泡 容量偏低 DCIR 高</w:t>
            </w:r>
          </w:p>
        </w:tc>
        <w:tc>
          <w:tcPr>
            <w:tcW w:type="dxa" w:w="25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注液 静置 化成 老化</w:t>
            </w:r>
          </w:p>
        </w:tc>
        <w:tc>
          <w:tcPr>
            <w:tcW w:type="dxa" w:w="286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界面不均 析锂 自放电异常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 缺陷必须用空间和时间坐标描述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机器方向重复的周期缺陷通常指向辊、泵、涂布唇口、张力或传动周期；横向固定位置的条纹更可能连接模头分区、烘箱风场、辊面或分切刀位。随机散点则要考虑过滤、洁净、原料团聚和偶发操作。空间模式不是结论，而是选择验证路径的先验信息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时间坐标同样重要。把样品按班次平均会消除停机重启、换卷、换料和维护后的瞬态。诊断数据至少保留绝对时间、卷长或电芯序号、设备状态和事件日志，使异常能够对齐到工艺历史。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缺陷地图应采用同一坐标基准。极片、隔膜、卷芯、电芯 X-ray 或拆解图像如果无法相互配准，就很难判断相对位置是否重复，也无法确认某处负极异常是否面对正极漏涂区。</w:t>
      </w:r>
    </w:p>
    <w:p>
      <w:pPr>
        <w:spacing w:before="60" w:after="60"/>
        <w:jc w:val="center"/>
      </w:pPr>
      <m:oMathPara>
        <m:oMath>
          <m:r>
            <m:t>d_norm = d / W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b w:val="0"/>
          <w:i w:val="0"/>
          <w:color w:val="24364B"/>
          <w:sz w:val="20"/>
        </w:rPr>
        <w:t>d_norm 为缺陷横向位置的归一化坐标，无量纲；d 为缺陷中心到选定基准边的距离，单位 mm；W 为极片有效宽度，单位 mm。统一基准后可比较不同卷宽和不同工序的空间分布。</w:t>
      </w:r>
    </w:p>
    <w:p>
      <w:pPr>
        <w:pStyle w:val="Heading1"/>
        <w:keepNext/>
        <w:keepLines/>
      </w:pPr>
      <w:r>
        <w:t>4 从缺陷后果决定优先级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风险优先级既看发生频次，也看后果和逃逸可能性。小而尖锐的金属毛刺虽然面积小，却可能穿透隔膜；大面积外观色差若不改变厚度、粘结、导电网络或界面反应，风险可能较低。面积不能直接代表严重度。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对安全相关缺陷，应优先采用预防和源头消除，因为终检对潜伏微短路的检出并不完美。检验发现率高也不等于过程可靠；检验只能捕获定义清楚且传感器能够分辨的缺陷。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同一缺陷在不同电芯设计、N/P 比、极片余量、隔膜厚度和使用倍率下会有不同后果。限值应由设计验证、过程能力、检测不确定度和使用边界共同确定。</w:t>
      </w:r>
    </w:p>
    <w:p>
      <w:pPr>
        <w:spacing w:before="60" w:after="60"/>
        <w:jc w:val="center"/>
      </w:pPr>
      <m:oMathPara>
        <m:oMath>
          <m:r>
            <m:t>Priority = S × O × E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b w:val="0"/>
          <w:i w:val="0"/>
          <w:color w:val="24364B"/>
          <w:sz w:val="20"/>
        </w:rPr>
        <w:t>Priority 为用于排序的示意量；S 为后果严重度；O 为发生可能性；E 为逃逸可能性。三项通常是组织定义的序数量表，乘积不是物理概率，也不能替代安全工程判断。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 w:space="0"/>
          <w:left w:val="single" w:sz="6" w:color="D9D9D9" w:space="0"/>
          <w:bottom w:val="single" w:sz="6" w:color="D9D9D9" w:space="0"/>
          <w:right w:val="single" w:sz="6" w:color="D9D9D9" w:space="0"/>
          <w:insideH w:val="single" w:sz="6" w:color="D9D9D9" w:space="0"/>
          <w:insideV w:val="single" w:sz="6" w:color="D9D9D9" w:space="0"/>
        </w:tblBorders>
      </w:tblPr>
      <w:tblGrid>
        <w:gridCol w:w="1650"/>
        <w:gridCol w:w="2600"/>
        <w:gridCol w:w="3000"/>
        <w:gridCol w:w="2110"/>
      </w:tblGrid>
      <w:tr>
        <w:trPr>
          <w:tblHeader w:val="true"/>
        </w:trPr>
        <w:tc>
          <w:tcPr>
            <w:tcW w:type="dxa" w:w="165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风险维度</w:t>
            </w:r>
          </w:p>
        </w:tc>
        <w:tc>
          <w:tcPr>
            <w:tcW w:type="dxa" w:w="26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关键问题</w:t>
            </w:r>
          </w:p>
        </w:tc>
        <w:tc>
          <w:tcPr>
            <w:tcW w:type="dxa" w:w="30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所需证据</w:t>
            </w:r>
          </w:p>
        </w:tc>
        <w:tc>
          <w:tcPr>
            <w:tcW w:type="dxa" w:w="211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典型误判</w:t>
            </w:r>
          </w:p>
        </w:tc>
      </w:tr>
      <w:tr>
        <w:tc>
          <w:tcPr>
            <w:tcW w:type="dxa" w:w="16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严重度</w:t>
            </w:r>
          </w:p>
        </w:tc>
        <w:tc>
          <w:tcPr>
            <w:tcW w:type="dxa" w:w="26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最坏合理后果是什么</w:t>
            </w:r>
          </w:p>
        </w:tc>
        <w:tc>
          <w:tcPr>
            <w:tcW w:type="dxa" w:w="30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安全分析 失效试验 使用边界</w:t>
            </w:r>
          </w:p>
        </w:tc>
        <w:tc>
          <w:tcPr>
            <w:tcW w:type="dxa" w:w="211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只看当前容量</w:t>
            </w:r>
          </w:p>
        </w:tc>
      </w:tr>
      <w:tr>
        <w:tc>
          <w:tcPr>
            <w:tcW w:type="dxa" w:w="16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发生性</w:t>
            </w:r>
          </w:p>
        </w:tc>
        <w:tc>
          <w:tcPr>
            <w:tcW w:type="dxa" w:w="26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在哪些条件下形成</w:t>
            </w:r>
          </w:p>
        </w:tc>
        <w:tc>
          <w:tcPr>
            <w:tcW w:type="dxa" w:w="30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谱系频次 设备事件 复现实验</w:t>
            </w:r>
          </w:p>
        </w:tc>
        <w:tc>
          <w:tcPr>
            <w:tcW w:type="dxa" w:w="211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把抽样率当发生率</w:t>
            </w:r>
          </w:p>
        </w:tc>
      </w:tr>
      <w:tr>
        <w:tc>
          <w:tcPr>
            <w:tcW w:type="dxa" w:w="16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检出性</w:t>
            </w:r>
          </w:p>
        </w:tc>
        <w:tc>
          <w:tcPr>
            <w:tcW w:type="dxa" w:w="26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逃逸前能否稳定识别</w:t>
            </w:r>
          </w:p>
        </w:tc>
        <w:tc>
          <w:tcPr>
            <w:tcW w:type="dxa" w:w="30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检出概率 假阴性 量具研究</w:t>
            </w:r>
          </w:p>
        </w:tc>
        <w:tc>
          <w:tcPr>
            <w:tcW w:type="dxa" w:w="211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把分辨率当检出率</w:t>
            </w:r>
          </w:p>
        </w:tc>
      </w:tr>
      <w:tr>
        <w:tc>
          <w:tcPr>
            <w:tcW w:type="dxa" w:w="16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影响范围</w:t>
            </w:r>
          </w:p>
        </w:tc>
        <w:tc>
          <w:tcPr>
            <w:tcW w:type="dxa" w:w="26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共同原因覆盖哪些产品</w:t>
            </w:r>
          </w:p>
        </w:tc>
        <w:tc>
          <w:tcPr>
            <w:tcW w:type="dxa" w:w="30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时间窗 物流混料 工序队列</w:t>
            </w:r>
          </w:p>
        </w:tc>
        <w:tc>
          <w:tcPr>
            <w:tcW w:type="dxa" w:w="211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按单个不良品隔离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5 电极缺陷的局部电化学后果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漏涂或负载不均会改变局部正负极容量匹配和电流密度。ORNL 在带有人工涂布缺陷的 NMC532/石墨软包电芯中观察到，较大的未涂覆区域导致更明显容量衰减，并且面对缺陷区域的负极出现相应变化。[1] 该结果说明应分析面对关系，而不是只统计缺陷在单片极片上的面积。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团聚会改变局部导电剂和活性物质分布，也可能造成厚度峰值、干燥不均与辊压受力集中。针孔则减少局部活性面积并改变界面电流分布。不同研究和测试条件下影响大小可能不同，因此现场限值必须通过本设计验证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红外热成像可以利用涂层厚度和热响应差异识别针孔、凹坑、起泡、漏涂、团聚及金属污染等异常。ORNL 将其用于在线无损评价研究，但任何部署仍需以已知缺陷样和逃逸样评估检出能力。[3]</w:t>
      </w:r>
    </w:p>
    <w:p>
      <w:pPr>
        <w:spacing w:before="60" w:after="60"/>
        <w:jc w:val="center"/>
      </w:pPr>
      <m:oMathPara>
        <m:oMath>
          <m:r>
            <m:t>j_local = I / A_active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b w:val="0"/>
          <w:i w:val="0"/>
          <w:color w:val="24364B"/>
          <w:sz w:val="20"/>
        </w:rPr>
        <w:t>j_local 为局部电流密度，单位 A·m⁻²；I 为通过局部区域的电流，单位 A；A_active 为有效反应面积，单位 m²。缺陷使有效面积下降时，局部电流密度可能上升。</w:t>
      </w:r>
    </w:p>
    <w:p>
      <w:pPr>
        <w:pStyle w:val="Heading1"/>
        <w:keepNext/>
        <w:keepLines/>
      </w:pPr>
      <w:r>
        <w:t>6 机械与异物缺陷的安全路径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分切毛刺、金属颗粒和焊接飞溅的共同风险是形成电子导通路径或损伤隔膜。风险取决于颗粒材料、尺寸、形状、位置、受压历史和隔膜的机械与热响应，而不是仅由洁净度计数决定。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褶皱和错位会改变极片边缘余量与局部压力。边缘处的离子通量、集流体暴露和负极覆盖关系可能变化，在高倍率、低温或高 SOC 下放大局部析锂风险。装配几何因此需要与电芯设计公差联合判定。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根因分析应把发现位置追溯到最后可能生成或放大的工序。毛刺可能在分切时生成，却在卷绕张力、热压或入壳后才刺入隔膜；只检查末端设备会遗漏源头。</w:t>
      </w:r>
    </w:p>
    <w:p>
      <w:pPr>
        <w:spacing w:before="60" w:after="60"/>
        <w:jc w:val="center"/>
      </w:pPr>
      <m:oMathPara>
        <m:oMath>
          <m:r>
            <m:t>M_edge = O_anode − O_cathode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b w:val="0"/>
          <w:i w:val="0"/>
          <w:color w:val="24364B"/>
          <w:sz w:val="20"/>
        </w:rPr>
        <w:t>M_edge 为示意性的负极覆盖余量，单位 mm；O_anode 与 O_cathode 分别为选定方向上的负极和正极边界坐标，单位 mm。正负号约定必须在图纸和测量程序中固定。</w:t>
      </w:r>
    </w:p>
    <w:p>
      <w:pPr>
        <w:pStyle w:val="Heading1"/>
        <w:keepNext/>
        <w:keepLines/>
      </w:pPr>
      <w:r>
        <w:t>7 焊接、密封和浸润异常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焊接缺陷既包括熔合不足，也包括过度能量导致的飞溅、脆化和邻近材料热损伤。单一拉力值无法覆盖所有失效模式，应组合波形、外观、截面、连接电阻和破坏模式，并验证这些特征与寿命载荷的关系。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密封缺陷可能表现为微漏、封边污染、皱折或热封层未充分熔合。测试压力、温度和等待时间会改变结果；量具相关性和泄漏通道的气体或液体机理必须与实际风险一致。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浸润不均会使局部离子路径建立较慢，并在化成时形成不均匀界面。形成和老化不仅是产能瓶颈，也承担建立 SEI/CEI 以及筛查异常漏电的质量功能。ORNL 指出润湿、化成和老化可能持续数天，并显著占用制造空间和资本。[4]</w:t>
      </w:r>
    </w:p>
    <w:p>
      <w:pPr>
        <w:spacing w:before="60" w:after="60"/>
        <w:jc w:val="center"/>
      </w:pPr>
      <m:oMathPara>
        <m:oMath>
          <m:r>
            <m:t>R_joint = ΔV / I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b w:val="0"/>
          <w:i w:val="0"/>
          <w:color w:val="24364B"/>
          <w:sz w:val="20"/>
        </w:rPr>
        <w:t>R_joint 为连接区域等效电阻，单位 Ω；ΔV 为加载电流时连接两端的电压降，单位 V；I 为测试电流，单位 A。测量需扣除引线与接触电阻并控制温度。</w:t>
      </w:r>
    </w:p>
    <w:p>
      <w:pPr>
        <w:pStyle w:val="Heading1"/>
        <w:keepNext/>
        <w:keepLines/>
      </w:pPr>
      <w:r>
        <w:t>8 根因不是最先发现的相关因素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一条可靠的根因链至少包含四层：缺陷事实、与谱系一致的形成条件、能够解释性能后果的物理机理、以及改变该条件后缺陷随之消失或再现的验证。只有相关性而没有干预证据时，应继续保留竞争假设。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鱼骨图、5 Why 和故障树适合组织假设，但不会自动产生证据。应为每个假设写出预测：如果假设为真，哪个位置、批次或响应会发生什么；如果没有出现，该假设是否被削弱。可证伪预测能防止讨论停留在经验判断。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复现实验要同时设置阳性、阴性和基线条件。若只把参数推到极端后得到相似外观，可能证明的是另一条形成路径。复现样还应比较微观、化学和电性能特征，而不仅比较照片。</w:t>
      </w:r>
    </w:p>
    <w:p>
      <w:pPr>
        <w:pStyle w:val="Heading1"/>
        <w:keepNext/>
        <w:keepLines/>
      </w:pPr>
      <w:r>
        <w:t>9 检测系统需要自己的能力证据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视觉、X-ray、红外、超声、漏率和电性能筛查都存在检测阈值与假阴性。检出能力应覆盖真实产品背景、线速、表面反光、卷材抖动、算法版本和缺陷类别，而不只是在静态标准样上演示。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评价数据应按缺陷大小和严重度分层，报告真阳性、假阳性和假阴性。总体准确率在低缺陷率场景中可能误导；即使模型把所有样品判为正常，准确率仍可能很高。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算法阈值改变会同时改变拦截和误报。任何阈值、照明、相机、特征提取或模型版本变化，都应记录版本、回放固定挑战集并重新确认与现场处置规则的连接。</w:t>
      </w:r>
    </w:p>
    <w:p>
      <w:pPr>
        <w:spacing w:before="60" w:after="60"/>
        <w:jc w:val="center"/>
      </w:pPr>
      <m:oMathPara>
        <m:oMath>
          <m:r>
            <m:t>Recall = TP / (TP + FN)</m:t>
          </m:r>
        </m:oMath>
      </m:oMathPara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0"/>
        </w:rPr>
        <w:t xml:space="preserve">变量与单位  </w:t>
      </w:r>
      <w:r>
        <w:rPr>
          <w:rFonts w:ascii="Microsoft YaHei" w:hAnsi="Microsoft YaHei" w:eastAsia="Microsoft YaHei"/>
          <w:b w:val="0"/>
          <w:i w:val="0"/>
          <w:color w:val="24364B"/>
          <w:sz w:val="20"/>
        </w:rPr>
        <w:t>Recall 为检出率，无量纲；TP 为正确检出的真实缺陷数；FN 为未检出的真实缺陷数。真实标签必须来自可追溯的确认方法，且需按缺陷类型和尺寸分层。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 w:space="0"/>
          <w:left w:val="single" w:sz="6" w:color="D9D9D9" w:space="0"/>
          <w:bottom w:val="single" w:sz="6" w:color="D9D9D9" w:space="0"/>
          <w:right w:val="single" w:sz="6" w:color="D9D9D9" w:space="0"/>
          <w:insideH w:val="single" w:sz="6" w:color="D9D9D9" w:space="0"/>
          <w:insideV w:val="single" w:sz="6" w:color="D9D9D9" w:space="0"/>
        </w:tblBorders>
      </w:tblPr>
      <w:tblGrid>
        <w:gridCol w:w="1550"/>
        <w:gridCol w:w="2600"/>
        <w:gridCol w:w="3000"/>
        <w:gridCol w:w="2210"/>
      </w:tblGrid>
      <w:tr>
        <w:trPr>
          <w:tblHeader w:val="true"/>
        </w:trPr>
        <w:tc>
          <w:tcPr>
            <w:tcW w:type="dxa" w:w="155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判断层级</w:t>
            </w:r>
          </w:p>
        </w:tc>
        <w:tc>
          <w:tcPr>
            <w:tcW w:type="dxa" w:w="26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必须回答</w:t>
            </w:r>
          </w:p>
        </w:tc>
        <w:tc>
          <w:tcPr>
            <w:tcW w:type="dxa" w:w="30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最低证据</w:t>
            </w:r>
          </w:p>
        </w:tc>
        <w:tc>
          <w:tcPr>
            <w:tcW w:type="dxa" w:w="221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未满足时行动</w:t>
            </w:r>
          </w:p>
        </w:tc>
      </w:tr>
      <w:tr>
        <w:tc>
          <w:tcPr>
            <w:tcW w:type="dxa" w:w="15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现象</w:t>
            </w:r>
          </w:p>
        </w:tc>
        <w:tc>
          <w:tcPr>
            <w:tcW w:type="dxa" w:w="26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观察是否真实且可重复</w:t>
            </w:r>
          </w:p>
        </w:tc>
        <w:tc>
          <w:tcPr>
            <w:tcW w:type="dxa" w:w="30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校准样 重复测量 原始记录</w:t>
            </w:r>
          </w:p>
        </w:tc>
        <w:tc>
          <w:tcPr>
            <w:tcW w:type="dxa" w:w="221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冻结结论并复核测量</w:t>
            </w:r>
          </w:p>
        </w:tc>
      </w:tr>
      <w:tr>
        <w:tc>
          <w:tcPr>
            <w:tcW w:type="dxa" w:w="15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关联</w:t>
            </w:r>
          </w:p>
        </w:tc>
        <w:tc>
          <w:tcPr>
            <w:tcW w:type="dxa" w:w="26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异常与哪些谱系因素同现</w:t>
            </w:r>
          </w:p>
        </w:tc>
        <w:tc>
          <w:tcPr>
            <w:tcW w:type="dxa" w:w="30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分层数据 时间与空间映射</w:t>
            </w:r>
          </w:p>
        </w:tc>
        <w:tc>
          <w:tcPr>
            <w:tcW w:type="dxa" w:w="221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扩大采样并保留竞争假设</w:t>
            </w:r>
          </w:p>
        </w:tc>
      </w:tr>
      <w:tr>
        <w:tc>
          <w:tcPr>
            <w:tcW w:type="dxa" w:w="15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机理</w:t>
            </w:r>
          </w:p>
        </w:tc>
        <w:tc>
          <w:tcPr>
            <w:tcW w:type="dxa" w:w="26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该因素为何造成该结果</w:t>
            </w:r>
          </w:p>
        </w:tc>
        <w:tc>
          <w:tcPr>
            <w:tcW w:type="dxa" w:w="30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物理模型 多方法表征</w:t>
            </w:r>
          </w:p>
        </w:tc>
        <w:tc>
          <w:tcPr>
            <w:tcW w:type="dxa" w:w="221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设计能区分假设的试验</w:t>
            </w:r>
          </w:p>
        </w:tc>
      </w:tr>
      <w:tr>
        <w:tc>
          <w:tcPr>
            <w:tcW w:type="dxa" w:w="155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根因</w:t>
            </w:r>
          </w:p>
        </w:tc>
        <w:tc>
          <w:tcPr>
            <w:tcW w:type="dxa" w:w="26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改变因素能否消除或复现</w:t>
            </w:r>
          </w:p>
        </w:tc>
        <w:tc>
          <w:tcPr>
            <w:tcW w:type="dxa" w:w="300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对照 干预 反证 连续验证</w:t>
            </w:r>
          </w:p>
        </w:tc>
        <w:tc>
          <w:tcPr>
            <w:tcW w:type="dxa" w:w="2210"/>
            <w:shd w:fill="F2F5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不得关闭或缩小隔离</w:t>
            </w:r>
          </w:p>
        </w:tc>
      </w:tr>
      <w:tr>
        <w:tc>
          <w:tcPr>
            <w:tcW w:type="dxa" w:w="155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364B"/>
                <w:sz w:val="18"/>
              </w:rPr>
              <w:t>控制</w:t>
            </w:r>
          </w:p>
        </w:tc>
        <w:tc>
          <w:tcPr>
            <w:tcW w:type="dxa" w:w="26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如何防止再发生和逃逸</w:t>
            </w:r>
          </w:p>
        </w:tc>
        <w:tc>
          <w:tcPr>
            <w:tcW w:type="dxa" w:w="300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控制计划 检出能力 反应记录</w:t>
            </w:r>
          </w:p>
        </w:tc>
        <w:tc>
          <w:tcPr>
            <w:tcW w:type="dxa" w:w="2210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保持加严控制并升级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10 现场缺陷调查检查表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调查启动时先保护证据和产品，再进入原因分析。以下顺序用于避免样品、数据和时间窗在讨论中被改变。</w:t>
      </w:r>
    </w:p>
    <w:p>
      <w:pPr>
        <w:spacing w:after="80" w:line="288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冻结原始图像、算法版本、设备事件、配方实际值、物料谱系和样品流转记录。</w:t>
      </w:r>
    </w:p>
    <w:p>
      <w:pPr>
        <w:spacing w:after="80" w:line="288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用确认方法复核缺陷类型、位置、尺度和严重度，并评估原检测系统的假阴性。</w:t>
      </w:r>
    </w:p>
    <w:p>
      <w:pPr>
        <w:spacing w:after="80" w:line="288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以最后一个已知正常点和第一个异常点界定时间窗，检查返工、混料和后工序队列。</w:t>
      </w:r>
    </w:p>
    <w:p>
      <w:pPr>
        <w:spacing w:after="80" w:line="288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为每个竞争假设写出可验证预测，优先执行能最大幅度区分假设的试验。</w:t>
      </w:r>
    </w:p>
    <w:p>
      <w:pPr>
        <w:spacing w:after="80" w:line="288" w:lineRule="auto"/>
        <w:numPr>
          <w:ilvl w:val="0"/>
          <w:numId w:val="22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措施实施后验证缺陷、关键过程响应和电芯后果同时改善，再定义持续监控和退出条件。</w:t>
      </w:r>
    </w:p>
    <w:p>
      <w:pPr>
        <w:pStyle w:val="Heading1"/>
        <w:keepNext/>
        <w:keepLines/>
      </w:pPr>
      <w:r>
        <w:t>11 典型故障场景 低温 DCIR 尾部异常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某方形电芯在常温容量和外观终检中均合格，但低温 DCIR 出现长尾。异常集中在两个班次，最初被归因于化成通道差异。重新配准极片卷长和电芯谱系后发现，异常电芯更多对应正极边缘间歇性漏涂带，同时该位置面对负极边缘。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要关闭问题，不能只验证“漏涂与 DCIR 相关”，还要证明漏涂由哪个工艺条件形成、为什么在低温下放大、受影响产品边界在哪里，以及纠正后是否恢复。</w:t>
      </w:r>
    </w:p>
    <w:p>
      <w:pPr>
        <w:spacing w:after="80" w:line="288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复核低温 DCIR 的温度平衡、夹具接触和重复性，确认长尾不是测量系统产生。</w:t>
      </w:r>
    </w:p>
    <w:p>
      <w:pPr>
        <w:spacing w:after="80" w:line="288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按卷号、卷长、横向位置、设备事件和化成通道重建谱系，比较异常与正常样本。</w:t>
      </w:r>
    </w:p>
    <w:p>
      <w:pPr>
        <w:spacing w:after="80" w:line="288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拆解并配准正负极面对区域，联合检查面密度、厚度、孔隙率、浸润痕迹和锂沉积证据。</w:t>
      </w:r>
    </w:p>
    <w:p>
      <w:pPr>
        <w:spacing w:after="80" w:line="288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在受控条件下复现涂布边缘不稳定，设置无漏涂基线和不同漏涂几何的对照组。</w:t>
      </w:r>
    </w:p>
    <w:p>
      <w:pPr>
        <w:spacing w:after="80" w:line="288" w:lineRule="auto"/>
        <w:numPr>
          <w:ilvl w:val="0"/>
          <w:numId w:val="23"/>
        </w:numPr>
      </w:pP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修正模头边缘与供料条件后连续验证多卷，更新检测挑战集、隔离规则和控制计划。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把终检异常沿谱系映射回局部结构，再用受控干预证明形成原因；相关性只能筛选方向，不能独立支持放行。</w:t>
      </w:r>
    </w:p>
    <w:p>
      <w:pPr>
        <w:pStyle w:val="Heading1"/>
        <w:keepNext/>
        <w:keepLines/>
      </w:pPr>
      <w:r>
        <w:t>12 常见误区与本期小结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误区 1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缺陷越大风险越高。风险取决于位置、形状、材料和失效路径，小毛刺可能比大片色差更危险。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误区 2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发现异常的工序就是根因工序。后工序可能只是放大或暴露了更早形成的缺陷。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误区 3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照片相似就证明复现成功。还需比较空间、微观、化学和电性能特征。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误区 4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检出准确率高就能保护客户。低缺陷率下应重点看假阴性和分层检出率。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误区 5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措施后暂时无不良即可关闭。需要预定验证窗、连续证据和再发生监控。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本期小结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缺陷诊断从准确描述和证据保护开始，以谱系缩小范围，以机理连接产品风险，以对照和反证确认根因，最后把措施固化到检测、控制计划和放行规则。</w:t>
      </w:r>
    </w:p>
    <w:p>
      <w:pPr>
        <w:pStyle w:val="Heading1"/>
        <w:keepNext/>
        <w:keepLines/>
      </w:pPr>
      <w:r>
        <w:t>13 思考题与简要答案</w:t>
      </w:r>
    </w:p>
    <w:p>
      <w:pPr>
        <w:keepNext/>
        <w:spacing w:before="100" w:after="60"/>
        <w:numPr>
          <w:ilvl w:val="0"/>
          <w:numId w:val="24"/>
        </w:numPr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为什么缺陷描述要把事实和推断分开？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i w:val="0"/>
          <w:color w:val="2E7D4F"/>
          <w:sz w:val="21"/>
        </w:rPr>
        <w:t>答：</w:t>
      </w: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事实可被不同团队复核，推断则需要实验验证；混在一起会让未经证明的原因固化为标签。</w:t>
      </w:r>
    </w:p>
    <w:p>
      <w:pPr>
        <w:keepNext/>
        <w:spacing w:before="100" w:after="60"/>
        <w:numPr>
          <w:ilvl w:val="0"/>
          <w:numId w:val="24"/>
        </w:numPr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为什么总体准确率不适合评价低缺陷率检测？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i w:val="0"/>
          <w:color w:val="2E7D4F"/>
          <w:sz w:val="21"/>
        </w:rPr>
        <w:t>答：</w:t>
      </w: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正常样本占比过高时，全判正常也可能得到很高准确率，却无法保护客户。</w:t>
      </w:r>
    </w:p>
    <w:p>
      <w:pPr>
        <w:keepNext/>
        <w:spacing w:before="100" w:after="60"/>
        <w:numPr>
          <w:ilvl w:val="0"/>
          <w:numId w:val="24"/>
        </w:numPr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空间周期性可以直接证明设备根因吗？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i w:val="0"/>
          <w:color w:val="2E7D4F"/>
          <w:sz w:val="21"/>
        </w:rPr>
        <w:t>答：</w:t>
      </w: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不能，它只提供线索；仍需对齐设备周期、检查竞争来源并通过干预复现。</w:t>
      </w:r>
    </w:p>
    <w:p>
      <w:pPr>
        <w:keepNext/>
        <w:spacing w:before="100" w:after="60"/>
        <w:numPr>
          <w:ilvl w:val="0"/>
          <w:numId w:val="24"/>
        </w:numPr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根因验证为何需要阴性对照？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i w:val="0"/>
          <w:color w:val="2E7D4F"/>
          <w:sz w:val="21"/>
        </w:rPr>
        <w:t>答：</w:t>
      </w: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阴性对照证明没有目标条件时缺陷不会出现，有助于排除共同变化和实验伪影。</w:t>
      </w:r>
    </w:p>
    <w:p>
      <w:pPr>
        <w:keepNext/>
        <w:spacing w:before="100" w:after="60"/>
        <w:numPr>
          <w:ilvl w:val="0"/>
          <w:numId w:val="24"/>
        </w:numPr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何时可以缩小隔离范围？</w:t>
      </w:r>
    </w:p>
    <w:p>
      <w:pPr>
        <w:spacing w:after="100"/>
        <w:ind w:left="360"/>
      </w:pPr>
      <w:r>
        <w:rPr>
          <w:rFonts w:ascii="Microsoft YaHei" w:hAnsi="Microsoft YaHei" w:eastAsia="Microsoft YaHei"/>
          <w:b/>
          <w:i w:val="0"/>
          <w:color w:val="2E7D4F"/>
          <w:sz w:val="21"/>
        </w:rPr>
        <w:t>答：</w:t>
      </w:r>
      <w:r>
        <w:rPr>
          <w:rFonts w:ascii="Microsoft YaHei" w:hAnsi="Microsoft YaHei" w:eastAsia="Microsoft YaHei"/>
          <w:b w:val="0"/>
          <w:i w:val="0"/>
          <w:color w:val="24364B"/>
          <w:sz w:val="21"/>
        </w:rPr>
        <w:t>当谱系完整、检测能力已验证且最后正常点和首个异常点有可信证据时，经批准缩小。</w:t>
      </w:r>
    </w:p>
    <w:p>
      <w:pPr>
        <w:pStyle w:val="Heading1"/>
        <w:keepNext/>
        <w:keepLines/>
      </w:pPr>
      <w:r>
        <w:t>14 下一期预告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22"/>
        </w:rPr>
        <w:t xml:space="preserve">第 11 期  </w:t>
      </w:r>
      <w:r>
        <w:rPr>
          <w:rFonts w:ascii="Microsoft YaHei" w:hAnsi="Microsoft YaHei" w:eastAsia="Microsoft YaHei"/>
          <w:b w:val="0"/>
          <w:i w:val="0"/>
          <w:color w:val="24364B"/>
          <w:sz w:val="22"/>
        </w:rPr>
        <w:t>磷酸铁锂体系的性能边界  将从橄榄石结构、两相反应、导电与扩散、低温功率、热稳定和系统设计理解 LFP 的优势与边界。</w:t>
      </w:r>
    </w:p>
    <w:p>
      <w:pPr>
        <w:pStyle w:val="Heading1"/>
        <w:keepNext/>
        <w:keepLines/>
      </w:pPr>
      <w:r>
        <w:t>附录 来源与延伸阅读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b w:val="0"/>
          <w:i w:val="0"/>
          <w:color w:val="24364B"/>
          <w:sz w:val="17"/>
        </w:rPr>
        <w:t>[1] David, L. A. et al. Identifying degradation mechanisms in lithium-ion batteries with coating defects at the cathode. Applied Energy 231 (2018) 446–455. ORNL. https://www.ornl.gov/publication/identifying-degradation-mechanisms-lithium-ion-batteries-coating-defects-cathode （访问日期：2026-09-13）。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b w:val="0"/>
          <w:i w:val="0"/>
          <w:color w:val="24364B"/>
          <w:sz w:val="17"/>
        </w:rPr>
        <w:t>[2] Mohanty, D. et al. Effect of electrode manufacturing defects on electrochemical performance of lithium-ion batteries. Journal of Power Sources 312 (2016) 70–79. https://impact.ornl.gov/en/publications/effect-of-electrode-manufacturing-defects-on-electrochemical-perf/ （访问日期：2026-09-13）。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b w:val="0"/>
          <w:i w:val="0"/>
          <w:color w:val="24364B"/>
          <w:sz w:val="17"/>
        </w:rPr>
        <w:t>[3] Oak Ridge National Laboratory. Energy Storage research area: infrared thermography and nondestructive evaluation of electrode defects. https://www.ornl.gov/facility/ntrc/research-areas/energy-storage （访问日期：2026-09-13）。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b w:val="0"/>
          <w:i w:val="0"/>
          <w:color w:val="24364B"/>
          <w:sz w:val="17"/>
        </w:rPr>
        <w:t>[4] Wood, D. L.; Li, J.; An, S. J. Formation Challenges of Lithium-Ion Battery Manufacturing. Joule 3 (2019) 2884–2888. https://www.ornl.gov/publication/formation-challenges-lithium-ion-battery-manufacturing （访问日期：2026-09-13）。</w:t>
      </w:r>
    </w:p>
    <w:p>
      <w:pPr>
        <w:spacing w:after="100" w:line="269" w:lineRule="auto"/>
        <w:ind w:left="259" w:hanging="259"/>
      </w:pPr>
      <w:r>
        <w:rPr>
          <w:rFonts w:ascii="Microsoft YaHei" w:hAnsi="Microsoft YaHei" w:eastAsia="Microsoft YaHei"/>
          <w:b w:val="0"/>
          <w:i w:val="0"/>
          <w:color w:val="24364B"/>
          <w:sz w:val="17"/>
        </w:rPr>
        <w:t>[5] Li, J. et al. From Materials to Cell: State-of-the-Art and Prospective Technologies for Lithium-Ion Battery Electrode Processing. Chemical Reviews 122 (2022) 903–956. https://www.ornl.gov/publication/materials-cell-state-art-and-prospective-technologies-lithium-ion-battery-electrode （访问日期：2026-09-13）。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left"/>
      </w:tabs>
    </w:pPr>
    <w:r>
      <w:rPr>
        <w:rFonts w:ascii="Microsoft YaHei" w:hAnsi="Microsoft YaHei" w:eastAsia="Microsoft YaHei"/>
        <w:b w:val="0"/>
        <w:i w:val="0"/>
        <w:color w:val="667085"/>
        <w:sz w:val="17"/>
      </w:rPr>
      <w:t>生成日期：2026-09-10</w:t>
    </w:r>
    <w:r>
      <w:tab/>
    </w:r>
    <w:r>
      <w:rPr>
        <w:rFonts w:ascii="Microsoft YaHei" w:hAnsi="Microsoft YaHei" w:eastAsia="Microsoft YaHei"/>
        <w:b w:val="0"/>
        <w:i w:val="0"/>
        <w:color w:val="667085"/>
        <w:sz w:val="17"/>
      </w:rPr>
      <w:t xml:space="preserve">第 </w:t>
    </w:r>
    <w:r>
      <w:rPr>
        <w:rFonts w:ascii="Microsoft YaHei" w:hAnsi="Microsoft YaHe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Microsoft YaHei" w:hAnsi="Microsoft YaHei" w:eastAsia="Microsoft YaHei"/>
        <w:b/>
        <w:i w:val="0"/>
        <w:color w:val="000000"/>
        <w:sz w:val="17"/>
      </w:rPr>
      <w:t>动力电池深度学习  |  第 10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abstractNum w:abstractNumId="12">
    <w:nsid w:val="0000000C"/>
    <w:tmpl w:val="A5A5000C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00"/>
      </w:pPr>
    </w:lvl>
  </w:abstractNum>
  <w:num w:numId="13">
    <w:abstractNumId w:val="12"/>
    <w:lvlOverride w:ilvl="0">
      <w:startOverride w:val="1"/>
    </w:lvlOverride>
  </w:num>
  <w:abstractNum w:abstractNumId="13">
    <w:nsid w:val="0000000D"/>
    <w:tmpl w:val="A5A5000D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00"/>
      </w:pPr>
    </w:lvl>
  </w:abstractNum>
  <w:num w:numId="14">
    <w:abstractNumId w:val="13"/>
    <w:lvlOverride w:ilvl="0">
      <w:startOverride w:val="1"/>
    </w:lvlOverride>
  </w:num>
  <w:abstractNum w:abstractNumId="14">
    <w:nsid w:val="0000000E"/>
    <w:tmpl w:val="A5A5000E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00"/>
      </w:pPr>
    </w:lvl>
  </w:abstractNum>
  <w:num w:numId="15">
    <w:abstractNumId w:val="14"/>
    <w:lvlOverride w:ilvl="0">
      <w:startOverride w:val="1"/>
    </w:lvlOverride>
  </w:num>
  <w:num w:numId="16">
    <w:abstractNumId w:val="12"/>
    <w:lvlOverride w:ilvl="0">
      <w:startOverride w:val="1"/>
    </w:lvlOverride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4"/>
    <w:lvlOverride w:ilvl="0">
      <w:startOverride w:val="1"/>
    </w:lvlOverride>
  </w:num>
  <w:abstractNum w:abstractNumId="15">
    <w:nsid w:val="0000000F"/>
    <w:tmpl w:val="B6B6000F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00"/>
      </w:pPr>
    </w:lvl>
  </w:abstractNum>
  <w:num w:numId="20">
    <w:abstractNumId w:val="15"/>
  </w:num>
  <w:num w:numId="21">
    <w:abstractNumId w:val="15"/>
    <w:lvlOverride w:ilvl="0">
      <w:startOverride w:val="1"/>
    </w:lvlOverride>
  </w:num>
  <w:num w:numId="22">
    <w:abstractNumId w:val="15"/>
    <w:lvlOverride w:ilvl="0">
      <w:startOverride w:val="1"/>
    </w:lvlOverride>
  </w:num>
  <w:num w:numId="23">
    <w:abstractNumId w:val="15"/>
    <w:lvlOverride w:ilvl="0">
      <w:startOverride w:val="1"/>
    </w:lvlOverride>
  </w:num>
  <w:num w:numId="24">
    <w:abstractNumId w:val="1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jc w:val="center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制造缺陷图谱与根因分析</dc:title>
  <dc:subject>动力电池深度学习第10期</dc:subject>
  <dc:creator>动力电池深度学习计划</dc:creator>
  <cp:keywords>动力电池, 锂离子电池, 制造质量, 工程学习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