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600"/>
        <w:jc w:val="center"/>
      </w:pPr>
      <w:r>
        <w:rPr>
          <w:rFonts w:ascii="Microsoft YaHei" w:hAnsi="Microsoft YaHei" w:eastAsia="Microsoft YaHei"/>
          <w:b/>
          <w:i w:val="0"/>
          <w:color w:val="000000"/>
          <w:sz w:val="25"/>
        </w:rPr>
        <w:t>动力电池深度学习  60 天进阶课程</w:t>
      </w:r>
    </w:p>
    <w:p>
      <w:pPr>
        <w:pStyle w:val="Title"/>
        <w:jc w:val="center"/>
      </w:pPr>
      <w:r>
        <w:t>三元正极与高镍电芯</w:t>
      </w:r>
    </w:p>
    <w:p>
      <w:pPr>
        <w:spacing w:after="560"/>
        <w:jc w:val="center"/>
      </w:pPr>
      <w:r>
        <w:rPr>
          <w:rFonts w:ascii="Microsoft YaHei" w:hAnsi="Microsoft YaHei" w:eastAsia="Microsoft YaHei"/>
          <w:b w:val="0"/>
          <w:i w:val="0"/>
          <w:color w:val="000000"/>
          <w:sz w:val="31"/>
        </w:rPr>
        <w:t>层状结构  高镍收益  界面退化  电压窗口</w:t>
      </w:r>
    </w:p>
    <w:p>
      <w:pPr>
        <w:spacing w:after="920"/>
        <w:jc w:val="center"/>
      </w:pPr>
      <w:r>
        <w:rPr>
          <w:rFonts w:ascii="Microsoft YaHei" w:hAnsi="Microsoft YaHei" w:eastAsia="Microsoft YaHei"/>
          <w:b/>
          <w:i w:val="0"/>
          <w:color w:val="667085"/>
          <w:sz w:val="23"/>
        </w:rPr>
        <w:t>第 12 期  |  2026-09-12  |  制造质量</w:t>
      </w:r>
    </w:p>
    <w:p>
      <w:pPr>
        <w:spacing w:after="120" w:line="300" w:lineRule="auto"/>
      </w:pPr>
      <w:r>
        <w:rPr>
          <w:rFonts w:ascii="Microsoft YaHei" w:hAnsi="Microsoft YaHei" w:eastAsia="Microsoft YaHei"/>
          <w:b/>
          <w:i w:val="0"/>
          <w:color w:val="17365D"/>
          <w:sz w:val="22"/>
        </w:rPr>
        <w:t xml:space="preserve">本期结论  </w:t>
      </w:r>
      <w:r>
        <w:rPr>
          <w:rFonts w:ascii="Microsoft YaHei" w:hAnsi="Microsoft YaHei" w:eastAsia="Microsoft YaHei"/>
          <w:b w:val="0"/>
          <w:i w:val="0"/>
          <w:color w:val="24364B"/>
          <w:sz w:val="22"/>
        </w:rPr>
        <w:t>提高镍含量能够提升可逆容量并减少钴依赖，但也放大高 SOC 相变、表面重构、晶格氧活性、微裂纹和电解液氧化；高镍性能必须通过材料、颗粒、电极、电解液和充电窗口协同获得。</w:t>
      </w:r>
    </w:p>
    <w:p>
      <w:pPr>
        <w:spacing w:after="120" w:line="300" w:lineRule="auto" w:before="360"/>
      </w:pPr>
      <w:r>
        <w:rPr>
          <w:rFonts w:ascii="Microsoft YaHei" w:hAnsi="Microsoft YaHei" w:eastAsia="Microsoft YaHei"/>
          <w:b/>
          <w:i w:val="0"/>
          <w:color w:val="17365D"/>
          <w:sz w:val="20"/>
        </w:rPr>
        <w:t xml:space="preserve">阅读方法  </w:t>
      </w:r>
      <w:r>
        <w:rPr>
          <w:rFonts w:ascii="Microsoft YaHei" w:hAnsi="Microsoft YaHei" w:eastAsia="Microsoft YaHei"/>
          <w:b w:val="0"/>
          <w:i/>
          <w:color w:val="24364B"/>
          <w:sz w:val="20"/>
        </w:rPr>
        <w:t>先理解 NMC 各元素在层状结构中的作用，再分析高镍和高电压如何改变退化机理，最后把机理映射到电芯设计、制造与使用策略。</w:t>
      </w:r>
    </w:p>
    <w:p>
      <w:r>
        <w:br w:type="page"/>
      </w:r>
    </w:p>
    <w:p>
      <w:pPr>
        <w:pStyle w:val="Heading1"/>
        <w:keepNext/>
        <w:keepLines/>
      </w:pPr>
      <w:r>
        <w:t>1 本期学习目标</w:t>
      </w:r>
    </w:p>
    <w:p>
      <w:pPr>
        <w:spacing w:after="80" w:line="288" w:lineRule="auto"/>
        <w:numPr>
          <w:ilvl w:val="0"/>
          <w:numId w:val="21"/>
        </w:numPr>
      </w:pPr>
      <w:r>
        <w:rPr>
          <w:rFonts w:ascii="Microsoft YaHei" w:hAnsi="Microsoft YaHei" w:eastAsia="Microsoft YaHei"/>
          <w:b w:val="0"/>
          <w:i w:val="0"/>
          <w:color w:val="24364B"/>
          <w:sz w:val="21"/>
        </w:rPr>
        <w:t>解释层状 NMC 中镍、锰和钴对容量、结构稳定与动力学的主要贡献。</w:t>
      </w:r>
    </w:p>
    <w:p>
      <w:pPr>
        <w:spacing w:after="80" w:line="288" w:lineRule="auto"/>
        <w:numPr>
          <w:ilvl w:val="0"/>
          <w:numId w:val="21"/>
        </w:numPr>
      </w:pPr>
      <w:r>
        <w:rPr>
          <w:rFonts w:ascii="Microsoft YaHei" w:hAnsi="Microsoft YaHei" w:eastAsia="Microsoft YaHei"/>
          <w:b w:val="0"/>
          <w:i w:val="0"/>
          <w:color w:val="24364B"/>
          <w:sz w:val="21"/>
        </w:rPr>
        <w:t>理解高 SOC 下相变、氧活性、表面岩盐化和电解液氧化的耦合。</w:t>
      </w:r>
    </w:p>
    <w:p>
      <w:pPr>
        <w:spacing w:after="80" w:line="288" w:lineRule="auto"/>
        <w:numPr>
          <w:ilvl w:val="0"/>
          <w:numId w:val="21"/>
        </w:numPr>
      </w:pPr>
      <w:r>
        <w:rPr>
          <w:rFonts w:ascii="Microsoft YaHei" w:hAnsi="Microsoft YaHei" w:eastAsia="Microsoft YaHei"/>
          <w:b w:val="0"/>
          <w:i w:val="0"/>
          <w:color w:val="24364B"/>
          <w:sz w:val="21"/>
        </w:rPr>
        <w:t>区分多晶二次颗粒开裂、单晶浓度梯度和晶体取向带来的不同风险。</w:t>
      </w:r>
    </w:p>
    <w:p>
      <w:pPr>
        <w:spacing w:after="80" w:line="288" w:lineRule="auto"/>
        <w:numPr>
          <w:ilvl w:val="0"/>
          <w:numId w:val="21"/>
        </w:numPr>
      </w:pPr>
      <w:r>
        <w:rPr>
          <w:rFonts w:ascii="Microsoft YaHei" w:hAnsi="Microsoft YaHei" w:eastAsia="Microsoft YaHei"/>
          <w:b w:val="0"/>
          <w:i w:val="0"/>
          <w:color w:val="24364B"/>
          <w:sz w:val="21"/>
        </w:rPr>
        <w:t>分析上限电压、放电深度、温度和倍率对容量保持与阻抗增长的影响。</w:t>
      </w:r>
    </w:p>
    <w:p>
      <w:pPr>
        <w:spacing w:after="80" w:line="288" w:lineRule="auto"/>
        <w:numPr>
          <w:ilvl w:val="0"/>
          <w:numId w:val="21"/>
        </w:numPr>
      </w:pPr>
      <w:r>
        <w:rPr>
          <w:rFonts w:ascii="Microsoft YaHei" w:hAnsi="Microsoft YaHei" w:eastAsia="Microsoft YaHei"/>
          <w:b w:val="0"/>
          <w:i w:val="0"/>
          <w:color w:val="24364B"/>
          <w:sz w:val="21"/>
        </w:rPr>
        <w:t>把水分、残碱、颗粒破损、极片压实和化成条件纳入高镍制造控制。</w:t>
      </w:r>
    </w:p>
    <w:p>
      <w:pPr>
        <w:pStyle w:val="Heading1"/>
        <w:keepNext/>
        <w:keepLines/>
      </w:pPr>
      <w:r>
        <w:t>2 建立系统视角</w:t>
      </w:r>
    </w:p>
    <w:p>
      <w:pPr>
        <w:spacing w:after="120" w:line="300" w:lineRule="auto"/>
      </w:pPr>
      <w:r>
        <w:rPr>
          <w:rFonts w:ascii="Microsoft YaHei" w:hAnsi="Microsoft YaHei" w:eastAsia="Microsoft YaHei"/>
          <w:b w:val="0"/>
          <w:i w:val="0"/>
          <w:color w:val="24364B"/>
          <w:sz w:val="22"/>
        </w:rPr>
        <w:t>NMC 是 LiNixMnyCozO2 层状氧化物家族，x+y+z 通常接近 1。提高镍比例一般能够提高可逆容量并降低钴比例，但稳定性和加工敏感性随之增加。体系名称只能说明名义组成，不能替代颗粒形貌、表面处理和电芯窗口。</w:t>
      </w:r>
    </w:p>
    <w:p>
      <w:pPr>
        <w:spacing w:after="120" w:line="300" w:lineRule="auto"/>
      </w:pPr>
      <w:r>
        <w:rPr>
          <w:rFonts w:ascii="Microsoft YaHei" w:hAnsi="Microsoft YaHei" w:eastAsia="Microsoft YaHei"/>
          <w:b w:val="0"/>
          <w:i w:val="0"/>
          <w:color w:val="24364B"/>
          <w:sz w:val="22"/>
        </w:rPr>
        <w:t>镍主要承担可逆氧化还原并贡献容量；锰常以较稳定价态支撑结构和成本；钴有助于层状有序与动力学。实际作用会随化学计量、掺杂、阳离子混排和制程变化，不能把元素功能绝对化。</w:t>
      </w:r>
    </w:p>
    <w:p>
      <w:pPr>
        <w:spacing w:after="120" w:line="300" w:lineRule="auto"/>
      </w:pPr>
      <w:r>
        <w:rPr>
          <w:rFonts w:ascii="Microsoft YaHei" w:hAnsi="Microsoft YaHei" w:eastAsia="Microsoft YaHei"/>
          <w:b w:val="0"/>
          <w:i w:val="0"/>
          <w:color w:val="24364B"/>
          <w:sz w:val="22"/>
        </w:rPr>
        <w:t>ORNL 对镍富集层状正极的研究总结了过渡金属溶解、相变和二次颗粒粉化等退化模式。[1] 电芯寿命并非仅由材料容量决定，而是由结构、界面和工作窗口共同决定。</w:t>
      </w:r>
    </w:p>
    <w:p>
      <w:pPr>
        <w:keepNext/>
        <w:jc w:val="center"/>
      </w:pPr>
      <w:r>
        <w:drawing>
          <wp:inline xmlns:a="http://schemas.openxmlformats.org/drawingml/2006/main" xmlns:pic="http://schemas.openxmlformats.org/drawingml/2006/picture">
            <wp:extent cx="5806440" cy="2249995"/>
            <wp:docPr id="1" name="Picture 1" descr="高镍三元正极协同链条，连接成分、颗粒、界面、工作窗口和电芯结果。" title="动力电池制造质量链示意图"/>
            <wp:cNvGraphicFramePr>
              <a:graphicFrameLocks noChangeAspect="1"/>
            </wp:cNvGraphicFramePr>
            <a:graphic>
              <a:graphicData uri="http://schemas.openxmlformats.org/drawingml/2006/picture">
                <pic:pic>
                  <pic:nvPicPr>
                    <pic:cNvPr id="0" name="day12_chain.png"/>
                    <pic:cNvPicPr/>
                  </pic:nvPicPr>
                  <pic:blipFill>
                    <a:blip r:embed="rId13"/>
                    <a:stretch>
                      <a:fillRect/>
                    </a:stretch>
                  </pic:blipFill>
                  <pic:spPr>
                    <a:xfrm>
                      <a:off x="0" y="0"/>
                      <a:ext cx="5806440" cy="2249995"/>
                    </a:xfrm>
                    <a:prstGeom prst="rect"/>
                  </pic:spPr>
                </pic:pic>
              </a:graphicData>
            </a:graphic>
          </wp:inline>
        </w:drawing>
      </w:r>
    </w:p>
    <w:p>
      <w:pPr>
        <w:keepNext/>
        <w:spacing w:before="60" w:after="160"/>
        <w:jc w:val="center"/>
      </w:pPr>
      <w:r>
        <w:rPr>
          <w:rFonts w:ascii="Microsoft YaHei" w:hAnsi="Microsoft YaHei" w:eastAsia="Microsoft YaHei"/>
          <w:b w:val="0"/>
          <w:i/>
          <w:color w:val="667085"/>
          <w:sz w:val="18"/>
        </w:rPr>
        <w:t>图 1  高镍电芯的材料—界面—窗口协同  本文绘制</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1450"/>
        <w:gridCol w:w="2200"/>
        <w:gridCol w:w="2700"/>
        <w:gridCol w:w="3010"/>
      </w:tblGrid>
      <w:tr>
        <w:trPr>
          <w:tblHeader w:val="true"/>
        </w:trPr>
        <w:tc>
          <w:tcPr>
            <w:tcW w:type="dxa" w:w="1450"/>
            <w:shd w:fill="17365D"/>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FFFFFF"/>
                <w:sz w:val="19"/>
              </w:rPr>
              <w:t>层级</w:t>
            </w:r>
          </w:p>
        </w:tc>
        <w:tc>
          <w:tcPr>
            <w:tcW w:type="dxa" w:w="22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高镍收益</w:t>
            </w:r>
          </w:p>
        </w:tc>
        <w:tc>
          <w:tcPr>
            <w:tcW w:type="dxa" w:w="27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新增敏感性</w:t>
            </w:r>
          </w:p>
        </w:tc>
        <w:tc>
          <w:tcPr>
            <w:tcW w:type="dxa" w:w="301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主要控制</w:t>
            </w:r>
          </w:p>
        </w:tc>
      </w:tr>
      <w:tr>
        <w:tc>
          <w:tcPr>
            <w:tcW w:type="dxa" w:w="145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晶格</w:t>
            </w:r>
          </w:p>
        </w:tc>
        <w:tc>
          <w:tcPr>
            <w:tcW w:type="dxa" w:w="22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更高可逆容量</w:t>
            </w:r>
          </w:p>
        </w:tc>
        <w:tc>
          <w:tcPr>
            <w:tcW w:type="dxa" w:w="27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Li/Ni 混排 高 SOC 相变</w:t>
            </w:r>
          </w:p>
        </w:tc>
        <w:tc>
          <w:tcPr>
            <w:tcW w:type="dxa" w:w="301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成分 掺杂 烧结 氧分压</w:t>
            </w:r>
          </w:p>
        </w:tc>
      </w:tr>
      <w:tr>
        <w:tc>
          <w:tcPr>
            <w:tcW w:type="dxa" w:w="145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颗粒</w:t>
            </w:r>
          </w:p>
        </w:tc>
        <w:tc>
          <w:tcPr>
            <w:tcW w:type="dxa" w:w="22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高活性材料利用</w:t>
            </w:r>
          </w:p>
        </w:tc>
        <w:tc>
          <w:tcPr>
            <w:tcW w:type="dxa" w:w="27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各向异性应变 微裂纹</w:t>
            </w:r>
          </w:p>
        </w:tc>
        <w:tc>
          <w:tcPr>
            <w:tcW w:type="dxa" w:w="301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形貌 单晶化 梯度设计</w:t>
            </w:r>
          </w:p>
        </w:tc>
      </w:tr>
      <w:tr>
        <w:tc>
          <w:tcPr>
            <w:tcW w:type="dxa" w:w="145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界面</w:t>
            </w:r>
          </w:p>
        </w:tc>
        <w:tc>
          <w:tcPr>
            <w:tcW w:type="dxa" w:w="22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高电压能量</w:t>
            </w:r>
          </w:p>
        </w:tc>
        <w:tc>
          <w:tcPr>
            <w:tcW w:type="dxa" w:w="27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表面重构 电解液氧化</w:t>
            </w:r>
          </w:p>
        </w:tc>
        <w:tc>
          <w:tcPr>
            <w:tcW w:type="dxa" w:w="301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包覆 添加剂 化成</w:t>
            </w:r>
          </w:p>
        </w:tc>
      </w:tr>
      <w:tr>
        <w:tc>
          <w:tcPr>
            <w:tcW w:type="dxa" w:w="145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电极</w:t>
            </w:r>
          </w:p>
        </w:tc>
        <w:tc>
          <w:tcPr>
            <w:tcW w:type="dxa" w:w="22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高面能量</w:t>
            </w:r>
          </w:p>
        </w:tc>
        <w:tc>
          <w:tcPr>
            <w:tcW w:type="dxa" w:w="27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压实破损 水分残碱</w:t>
            </w:r>
          </w:p>
        </w:tc>
        <w:tc>
          <w:tcPr>
            <w:tcW w:type="dxa" w:w="301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湿度 压实 孔隙 粘结</w:t>
            </w:r>
          </w:p>
        </w:tc>
      </w:tr>
      <w:tr>
        <w:tc>
          <w:tcPr>
            <w:tcW w:type="dxa" w:w="145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电芯</w:t>
            </w:r>
          </w:p>
        </w:tc>
        <w:tc>
          <w:tcPr>
            <w:tcW w:type="dxa" w:w="22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质量与体积能量</w:t>
            </w:r>
          </w:p>
        </w:tc>
        <w:tc>
          <w:tcPr>
            <w:tcW w:type="dxa" w:w="27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热和电压窗口收紧</w:t>
            </w:r>
          </w:p>
        </w:tc>
        <w:tc>
          <w:tcPr>
            <w:tcW w:type="dxa" w:w="301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BMS 热管理 充放电策略</w:t>
            </w:r>
          </w:p>
        </w:tc>
      </w:tr>
    </w:tbl>
    <w:p>
      <w:pPr>
        <w:spacing w:after="40"/>
      </w:pPr>
    </w:p>
    <w:p>
      <w:pPr>
        <w:pStyle w:val="Heading1"/>
        <w:keepNext/>
        <w:keepLines/>
      </w:pPr>
      <w:r>
        <w:t>3 层状结构与可逆容量</w:t>
      </w:r>
    </w:p>
    <w:p>
      <w:pPr>
        <w:spacing w:after="120" w:line="300" w:lineRule="auto"/>
      </w:pPr>
      <w:r>
        <w:rPr>
          <w:rFonts w:ascii="Microsoft YaHei" w:hAnsi="Microsoft YaHei" w:eastAsia="Microsoft YaHei"/>
          <w:b w:val="0"/>
          <w:i w:val="0"/>
          <w:color w:val="24364B"/>
          <w:sz w:val="22"/>
        </w:rPr>
        <w:t>理想层状结构中，锂层与过渡金属层交替排列。充电时锂从锂层脱出，过渡金属价态上升以补偿电荷；放电时过程反向。层间通道使锂能够二维迁移，但阳离子混排会占据锂位并增加扩散阻力。</w:t>
      </w:r>
    </w:p>
    <w:p>
      <w:pPr>
        <w:spacing w:after="120" w:line="300" w:lineRule="auto"/>
      </w:pPr>
      <w:r>
        <w:rPr>
          <w:rFonts w:ascii="Microsoft YaHei" w:hAnsi="Microsoft YaHei" w:eastAsia="Microsoft YaHei"/>
          <w:b w:val="0"/>
          <w:i w:val="0"/>
          <w:color w:val="24364B"/>
          <w:sz w:val="22"/>
        </w:rPr>
        <w:t>镍含量增加后，更多容量可以在较宽 SOC 范围释放，但高脱锂状态下晶格稳定性下降。容量收益通常伴随更严格的上限电压、温度和充电状态管理。</w:t>
      </w:r>
    </w:p>
    <w:p>
      <w:pPr>
        <w:spacing w:after="120" w:line="300" w:lineRule="auto"/>
      </w:pPr>
      <w:r>
        <w:rPr>
          <w:rFonts w:ascii="Microsoft YaHei" w:hAnsi="Microsoft YaHei" w:eastAsia="Microsoft YaHei"/>
          <w:b w:val="0"/>
          <w:i w:val="0"/>
          <w:color w:val="24364B"/>
          <w:sz w:val="22"/>
        </w:rPr>
        <w:t>材料标称容量、首圈库仑效率和全电芯可用容量是不同概念。全电芯还受到负极首效、N/P 比、活性锂库存、电解液和截止条件限制。</w:t>
      </w:r>
    </w:p>
    <w:p>
      <w:pPr>
        <w:spacing w:before="60" w:after="60"/>
        <w:jc w:val="center"/>
      </w:pPr>
      <m:oMathPara>
        <m:oMath>
          <m:r>
            <m:t>Q_theory = nF / (3.6M)</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Q_theory 为理论比容量，单位 mAh·g⁻¹；n 为每个化学式单元可转移电子数；F 为法拉第常数，单位 C·mol⁻¹；M 为摩尔质量，单位 g·mol⁻¹；3.6 完成 C 到 mAh 的换算。</w:t>
      </w:r>
    </w:p>
    <w:p>
      <w:pPr>
        <w:pStyle w:val="Heading1"/>
        <w:keepNext/>
        <w:keepLines/>
      </w:pPr>
      <w:r>
        <w:t>4 上限电压提高能量也提高副反应</w:t>
      </w:r>
    </w:p>
    <w:p>
      <w:pPr>
        <w:spacing w:after="120" w:line="300" w:lineRule="auto"/>
      </w:pPr>
      <w:r>
        <w:rPr>
          <w:rFonts w:ascii="Microsoft YaHei" w:hAnsi="Microsoft YaHei" w:eastAsia="Microsoft YaHei"/>
          <w:b w:val="0"/>
          <w:i w:val="0"/>
          <w:color w:val="24364B"/>
          <w:sz w:val="22"/>
        </w:rPr>
        <w:t>提高上限电压能够释放更多锂和容量，并提高平均工作电压。但正极表面处于更强氧化条件，电解液氧化、界面膜生长、气体、过渡金属溶解和表面结构重构可能加速。</w:t>
      </w:r>
    </w:p>
    <w:p>
      <w:pPr>
        <w:spacing w:after="120" w:line="300" w:lineRule="auto"/>
      </w:pPr>
      <w:r>
        <w:rPr>
          <w:rFonts w:ascii="Microsoft YaHei" w:hAnsi="Microsoft YaHei" w:eastAsia="Microsoft YaHei"/>
          <w:b w:val="0"/>
          <w:i w:val="0"/>
          <w:color w:val="24364B"/>
          <w:sz w:val="22"/>
        </w:rPr>
        <w:t>ORNL 的 NMC811/石墨软包研究在特定配方和循环条件下比较了 4.2、4.4 和 4.5 V 上限，超过 1000 次深循环后的容量保持随上限电压提高而明显降低。[2] 这些数值是该研究条件的结果，不应直接当作所有 NMC811 的通用寿命。</w:t>
      </w:r>
    </w:p>
    <w:p>
      <w:pPr>
        <w:spacing w:after="120" w:line="300" w:lineRule="auto"/>
      </w:pPr>
      <w:r>
        <w:rPr>
          <w:rFonts w:ascii="Microsoft YaHei" w:hAnsi="Microsoft YaHei" w:eastAsia="Microsoft YaHei"/>
          <w:b w:val="0"/>
          <w:i w:val="0"/>
          <w:color w:val="24364B"/>
          <w:sz w:val="22"/>
        </w:rPr>
        <w:t>提高电压后，容量增加和寿命损失并非线性。使用窗口应基于目标寿命、温度、充电时间和能量收益做系统优化，而不是追求单次最大容量。</w:t>
      </w:r>
    </w:p>
    <w:p>
      <w:pPr>
        <w:spacing w:before="60" w:after="60"/>
        <w:jc w:val="center"/>
      </w:pPr>
      <m:oMathPara>
        <m:oMath>
          <m:r>
            <m:t>E = ∫ V(Q)dQ</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E 为放电能量，单位 Wh；V(Q) 为随放电容量变化的端电压，单位 V；Q 为容量，单位 Ah。提高电压或可用容量都可能增加能量，但同时会改变副反应和寿命。</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1800"/>
        <w:gridCol w:w="2300"/>
        <w:gridCol w:w="2700"/>
        <w:gridCol w:w="2560"/>
      </w:tblGrid>
      <w:tr>
        <w:trPr>
          <w:tblHeader w:val="true"/>
        </w:trPr>
        <w:tc>
          <w:tcPr>
            <w:tcW w:type="dxa" w:w="1800"/>
            <w:shd w:fill="17365D"/>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FFFFFF"/>
                <w:sz w:val="19"/>
              </w:rPr>
              <w:t>窗口变量</w:t>
            </w:r>
          </w:p>
        </w:tc>
        <w:tc>
          <w:tcPr>
            <w:tcW w:type="dxa" w:w="23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短期收益</w:t>
            </w:r>
          </w:p>
        </w:tc>
        <w:tc>
          <w:tcPr>
            <w:tcW w:type="dxa" w:w="27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主要代价</w:t>
            </w:r>
          </w:p>
        </w:tc>
        <w:tc>
          <w:tcPr>
            <w:tcW w:type="dxa" w:w="256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验证重点</w:t>
            </w:r>
          </w:p>
        </w:tc>
      </w:tr>
      <w:tr>
        <w:tc>
          <w:tcPr>
            <w:tcW w:type="dxa" w:w="180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提高上限电压</w:t>
            </w:r>
          </w:p>
        </w:tc>
        <w:tc>
          <w:tcPr>
            <w:tcW w:type="dxa" w:w="23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增加容量与平均电压</w:t>
            </w:r>
          </w:p>
        </w:tc>
        <w:tc>
          <w:tcPr>
            <w:tcW w:type="dxa" w:w="27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氧化副反应 结构重构 气体</w:t>
            </w:r>
          </w:p>
        </w:tc>
        <w:tc>
          <w:tcPr>
            <w:tcW w:type="dxa" w:w="256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寿命 产气 热稳定</w:t>
            </w:r>
          </w:p>
        </w:tc>
      </w:tr>
      <w:tr>
        <w:tc>
          <w:tcPr>
            <w:tcW w:type="dxa" w:w="180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增大放电深度</w:t>
            </w:r>
          </w:p>
        </w:tc>
        <w:tc>
          <w:tcPr>
            <w:tcW w:type="dxa" w:w="23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提高单次可用能量</w:t>
            </w:r>
          </w:p>
        </w:tc>
        <w:tc>
          <w:tcPr>
            <w:tcW w:type="dxa" w:w="27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机械与化学摆幅增大</w:t>
            </w:r>
          </w:p>
        </w:tc>
        <w:tc>
          <w:tcPr>
            <w:tcW w:type="dxa" w:w="256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阻抗与容量保持</w:t>
            </w:r>
          </w:p>
        </w:tc>
      </w:tr>
      <w:tr>
        <w:tc>
          <w:tcPr>
            <w:tcW w:type="dxa" w:w="180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提高温度</w:t>
            </w:r>
          </w:p>
        </w:tc>
        <w:tc>
          <w:tcPr>
            <w:tcW w:type="dxa" w:w="23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降低瞬时极化</w:t>
            </w:r>
          </w:p>
        </w:tc>
        <w:tc>
          <w:tcPr>
            <w:tcW w:type="dxa" w:w="27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副反应和溶解加速</w:t>
            </w:r>
          </w:p>
        </w:tc>
        <w:tc>
          <w:tcPr>
            <w:tcW w:type="dxa" w:w="256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日历寿命与气体</w:t>
            </w:r>
          </w:p>
        </w:tc>
      </w:tr>
      <w:tr>
        <w:tc>
          <w:tcPr>
            <w:tcW w:type="dxa" w:w="180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提高充电倍率</w:t>
            </w:r>
          </w:p>
        </w:tc>
        <w:tc>
          <w:tcPr>
            <w:tcW w:type="dxa" w:w="23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缩短时间</w:t>
            </w:r>
          </w:p>
        </w:tc>
        <w:tc>
          <w:tcPr>
            <w:tcW w:type="dxa" w:w="27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极化 梯度 负极析锂</w:t>
            </w:r>
          </w:p>
        </w:tc>
        <w:tc>
          <w:tcPr>
            <w:tcW w:type="dxa" w:w="256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全电芯快充边界</w:t>
            </w:r>
          </w:p>
        </w:tc>
      </w:tr>
    </w:tbl>
    <w:p>
      <w:pPr>
        <w:spacing w:after="40"/>
      </w:pPr>
    </w:p>
    <w:p>
      <w:pPr>
        <w:pStyle w:val="Heading1"/>
        <w:keepNext/>
        <w:keepLines/>
      </w:pPr>
      <w:r>
        <w:t>5 高 SOC 相变、应变与微裂纹</w:t>
      </w:r>
    </w:p>
    <w:p>
      <w:pPr>
        <w:spacing w:after="120" w:line="300" w:lineRule="auto"/>
      </w:pPr>
      <w:r>
        <w:rPr>
          <w:rFonts w:ascii="Microsoft YaHei" w:hAnsi="Microsoft YaHei" w:eastAsia="Microsoft YaHei"/>
          <w:b w:val="0"/>
          <w:i w:val="0"/>
          <w:color w:val="24364B"/>
          <w:sz w:val="22"/>
        </w:rPr>
        <w:t>镍富集层状材料在高脱锂状态可能经历明显晶格参数变化。一次颗粒取向不同会产生各向异性应变，多晶二次颗粒内部的晶界因此承受反复机械载荷。</w:t>
      </w:r>
    </w:p>
    <w:p>
      <w:pPr>
        <w:spacing w:after="120" w:line="300" w:lineRule="auto"/>
      </w:pPr>
      <w:r>
        <w:rPr>
          <w:rFonts w:ascii="Microsoft YaHei" w:hAnsi="Microsoft YaHei" w:eastAsia="Microsoft YaHei"/>
          <w:b w:val="0"/>
          <w:i w:val="0"/>
          <w:color w:val="24364B"/>
          <w:sz w:val="22"/>
        </w:rPr>
        <w:t>微裂纹一旦形成，会暴露新的反应表面、破坏电子接触并为电解液深入颗粒提供通道。界面副反应与机械损伤相互促进，形成阻抗增长和活性物质失联的反馈。</w:t>
      </w:r>
    </w:p>
    <w:p>
      <w:pPr>
        <w:spacing w:after="120" w:line="300" w:lineRule="auto"/>
      </w:pPr>
      <w:r>
        <w:rPr>
          <w:rFonts w:ascii="Microsoft YaHei" w:hAnsi="Microsoft YaHei" w:eastAsia="Microsoft YaHei"/>
          <w:b w:val="0"/>
          <w:i w:val="0"/>
          <w:color w:val="24364B"/>
          <w:sz w:val="22"/>
        </w:rPr>
        <w:t>单晶颗粒减少二次颗粒内部晶界，但不能消除浓度不均和相变应力。ORNL 报告指出，镍含量和倍率升高会加剧锂浓度不均，并可能出现晶胞尺寸不同的共存相。[3]</w:t>
      </w:r>
    </w:p>
    <w:p>
      <w:pPr>
        <w:spacing w:before="60" w:after="60"/>
        <w:jc w:val="center"/>
      </w:pPr>
      <m:oMathPara>
        <m:oMath>
          <m:r>
            <m:t>ε = ΔL / L₀</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ε 为线应变，无量纲；ΔL 为长度变化，单位 m；L₀ 为参考长度，单位 m。晶格尺度各向异性应变会在颗粒和晶界尺度累积为机械应力。</w:t>
      </w:r>
    </w:p>
    <w:p>
      <w:pPr>
        <w:pStyle w:val="Heading1"/>
        <w:keepNext/>
        <w:keepLines/>
      </w:pPr>
      <w:r>
        <w:t>6 表面重构和界面阻抗</w:t>
      </w:r>
    </w:p>
    <w:p>
      <w:pPr>
        <w:spacing w:after="120" w:line="300" w:lineRule="auto"/>
      </w:pPr>
      <w:r>
        <w:rPr>
          <w:rFonts w:ascii="Microsoft YaHei" w:hAnsi="Microsoft YaHei" w:eastAsia="Microsoft YaHei"/>
          <w:b w:val="0"/>
          <w:i w:val="0"/>
          <w:color w:val="24364B"/>
          <w:sz w:val="22"/>
        </w:rPr>
        <w:t>高电压下，层状表面可能向尖晶石或岩盐样结构重构，降低锂传输通道的可用性。电解液氧化产物与正极界面膜同时增加，界面阻抗因此增长。</w:t>
      </w:r>
    </w:p>
    <w:p>
      <w:pPr>
        <w:spacing w:after="120" w:line="300" w:lineRule="auto"/>
      </w:pPr>
      <w:r>
        <w:rPr>
          <w:rFonts w:ascii="Microsoft YaHei" w:hAnsi="Microsoft YaHei" w:eastAsia="Microsoft YaHei"/>
          <w:b w:val="0"/>
          <w:i w:val="0"/>
          <w:color w:val="24364B"/>
          <w:sz w:val="22"/>
        </w:rPr>
        <w:t>包覆和电解液添加剂可以减缓直接接触与副反应，但如果主体晶格在使用窗口内持续发生不利变化，单纯稳定界面未必足够。ORNL 对高电压 NMC622 的研究强调，晶体取向和结构退化仍需共同管理。[4]</w:t>
      </w:r>
    </w:p>
    <w:p>
      <w:pPr>
        <w:spacing w:after="120" w:line="300" w:lineRule="auto"/>
      </w:pPr>
      <w:r>
        <w:rPr>
          <w:rFonts w:ascii="Microsoft YaHei" w:hAnsi="Microsoft YaHei" w:eastAsia="Microsoft YaHei"/>
          <w:b w:val="0"/>
          <w:i w:val="0"/>
          <w:color w:val="24364B"/>
          <w:sz w:val="22"/>
        </w:rPr>
        <w:t>界面膜不是越厚越好。理想界面应电子绝缘、锂离子可通过、机械稳定且副反应速率低；过厚或成分不均会增加极化并造成局部电流集中。</w:t>
      </w:r>
    </w:p>
    <w:p>
      <w:pPr>
        <w:spacing w:before="60" w:after="60"/>
        <w:jc w:val="center"/>
      </w:pPr>
      <m:oMathPara>
        <m:oMath>
          <m:r>
            <m:t>R_ct ≈ RT / (nF i₀)</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R_ct 为小信号近似电荷转移电阻，单位 Ω·m²；R 为气体常数；T 为温度，单位 K；n 为电子数；F 为法拉第常数；i₀ 为交换电流密度，单位 A·m⁻²。该式为线性化近似。</w:t>
      </w:r>
    </w:p>
    <w:p>
      <w:pPr>
        <w:pStyle w:val="Heading1"/>
        <w:keepNext/>
        <w:keepLines/>
      </w:pPr>
      <w:r>
        <w:t>7 放电深度和下限同样重要</w:t>
      </w:r>
    </w:p>
    <w:p>
      <w:pPr>
        <w:spacing w:after="120" w:line="300" w:lineRule="auto"/>
      </w:pPr>
      <w:r>
        <w:rPr>
          <w:rFonts w:ascii="Microsoft YaHei" w:hAnsi="Microsoft YaHei" w:eastAsia="Microsoft YaHei"/>
          <w:b w:val="0"/>
          <w:i w:val="0"/>
          <w:color w:val="24364B"/>
          <w:sz w:val="22"/>
        </w:rPr>
        <w:t>高镍寿命讨论常聚焦上限电压，但放电深度和下限电压也会改变应力摆幅、反应不均和负极状态。相同上限下，深循环与浅循环不应被视为同一工况。</w:t>
      </w:r>
    </w:p>
    <w:p>
      <w:pPr>
        <w:spacing w:after="120" w:line="300" w:lineRule="auto"/>
      </w:pPr>
      <w:r>
        <w:rPr>
          <w:rFonts w:ascii="Microsoft YaHei" w:hAnsi="Microsoft YaHei" w:eastAsia="Microsoft YaHei"/>
          <w:b w:val="0"/>
          <w:i w:val="0"/>
          <w:color w:val="24364B"/>
          <w:sz w:val="22"/>
        </w:rPr>
        <w:t>ORNL 的近期研究指出，在所测试的 NMC622 与 NMC76 体系中，正极阻抗增长同时依赖上限电压与放电深度，较高 DOD 或更低截止会加剧容量衰减和阻抗。[5] 这说明寿命窗口是二维甚至多维问题。</w:t>
      </w:r>
    </w:p>
    <w:p>
      <w:pPr>
        <w:spacing w:after="120" w:line="300" w:lineRule="auto"/>
      </w:pPr>
      <w:r>
        <w:rPr>
          <w:rFonts w:ascii="Microsoft YaHei" w:hAnsi="Microsoft YaHei" w:eastAsia="Microsoft YaHei"/>
          <w:b w:val="0"/>
          <w:i w:val="0"/>
          <w:color w:val="24364B"/>
          <w:sz w:val="22"/>
        </w:rPr>
        <w:t>对比循环寿命时，应同时报告温度、充放电倍率、上限与下限电压、DOD、SOC 停留时间、休息条件和容量判定方法。缺少这些信息的循环次数不可直接横向比较。</w:t>
      </w:r>
    </w:p>
    <w:p>
      <w:pPr>
        <w:spacing w:before="60" w:after="60"/>
        <w:jc w:val="center"/>
      </w:pPr>
      <m:oMathPara>
        <m:oMath>
          <m:r>
            <m:t>DOD = Q_removed / Q_reference</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DOD 为放电深度，无量纲；Q_removed 为本次移出的容量，单位 Ah；Q_reference 为约定参考容量，单位 Ah。参考容量会随温度和老化变化，因此试验必须规定口径。</w:t>
      </w:r>
    </w:p>
    <w:p>
      <w:pPr>
        <w:pStyle w:val="Heading1"/>
        <w:keepNext/>
        <w:keepLines/>
      </w:pPr>
      <w:r>
        <w:t>8 高镍制造比普通配方更敏感</w:t>
      </w:r>
    </w:p>
    <w:p>
      <w:pPr>
        <w:spacing w:after="120" w:line="300" w:lineRule="auto"/>
      </w:pPr>
      <w:r>
        <w:rPr>
          <w:rFonts w:ascii="Microsoft YaHei" w:hAnsi="Microsoft YaHei" w:eastAsia="Microsoft YaHei"/>
          <w:b w:val="0"/>
          <w:i w:val="0"/>
          <w:color w:val="24364B"/>
          <w:sz w:val="22"/>
        </w:rPr>
        <w:t>高镍材料表面可能对水分和空气暴露更敏感，残余锂化合物也会影响浆料流变、气体和界面。原料储存、转运、环境露点、浆料停留与涂布干燥需要形成闭环。</w:t>
      </w:r>
    </w:p>
    <w:p>
      <w:pPr>
        <w:spacing w:after="120" w:line="300" w:lineRule="auto"/>
      </w:pPr>
      <w:r>
        <w:rPr>
          <w:rFonts w:ascii="Microsoft YaHei" w:hAnsi="Microsoft YaHei" w:eastAsia="Microsoft YaHei"/>
          <w:b w:val="0"/>
          <w:i w:val="0"/>
          <w:color w:val="24364B"/>
          <w:sz w:val="22"/>
        </w:rPr>
        <w:t>颗粒在混料、辊压和搬运中可能破损。过高压实会增加颗粒裂纹和孔道损失，过低压实则影响体积能量与接触。应联合监控颗粒完整性、压实、孔隙、剥离和倍率。</w:t>
      </w:r>
    </w:p>
    <w:p>
      <w:pPr>
        <w:spacing w:after="120" w:line="300" w:lineRule="auto"/>
      </w:pPr>
      <w:r>
        <w:rPr>
          <w:rFonts w:ascii="Microsoft YaHei" w:hAnsi="Microsoft YaHei" w:eastAsia="Microsoft YaHei"/>
          <w:b w:val="0"/>
          <w:i w:val="0"/>
          <w:color w:val="24364B"/>
          <w:sz w:val="22"/>
        </w:rPr>
        <w:t>化成方案要同时建立负极 SEI 和正极 CEI。电解液量、润湿、温度、电流与静置会影响界面均匀性。高镍条件下，早期界面偏差可能在高 SOC 存储和循环中被放大。</w:t>
      </w:r>
    </w:p>
    <w:p>
      <w:pPr>
        <w:pStyle w:val="Heading1"/>
        <w:keepNext/>
        <w:keepLines/>
      </w:pPr>
      <w:r>
        <w:t>9 电芯策略决定材料能否兑现</w:t>
      </w:r>
    </w:p>
    <w:p>
      <w:pPr>
        <w:spacing w:after="120" w:line="300" w:lineRule="auto"/>
      </w:pPr>
      <w:r>
        <w:rPr>
          <w:rFonts w:ascii="Microsoft YaHei" w:hAnsi="Microsoft YaHei" w:eastAsia="Microsoft YaHei"/>
          <w:b w:val="0"/>
          <w:i w:val="0"/>
          <w:color w:val="24364B"/>
          <w:sz w:val="22"/>
        </w:rPr>
        <w:t>高镍材料的高容量只有在电极利用率、负极匹配和非活性质量控制合理时才能转化为电芯能量。过度保守的窗口会减少可用能量，过度激进的窗口则损害寿命和安全。</w:t>
      </w:r>
    </w:p>
    <w:p>
      <w:pPr>
        <w:spacing w:after="120" w:line="300" w:lineRule="auto"/>
      </w:pPr>
      <w:r>
        <w:rPr>
          <w:rFonts w:ascii="Microsoft YaHei" w:hAnsi="Microsoft YaHei" w:eastAsia="Microsoft YaHei"/>
          <w:b w:val="0"/>
          <w:i w:val="0"/>
          <w:color w:val="24364B"/>
          <w:sz w:val="22"/>
        </w:rPr>
        <w:t>BMS 可以通过电压、温度、SOC 和 SOH 相关的充电限值减少极端状态停留。热管理则应限制电芯间温差，因为温度不均会让同一电流产生不同老化速率。</w:t>
      </w:r>
    </w:p>
    <w:p>
      <w:pPr>
        <w:spacing w:after="120" w:line="300" w:lineRule="auto"/>
      </w:pPr>
      <w:r>
        <w:rPr>
          <w:rFonts w:ascii="Microsoft YaHei" w:hAnsi="Microsoft YaHei" w:eastAsia="Microsoft YaHei"/>
          <w:b w:val="0"/>
          <w:i w:val="0"/>
          <w:color w:val="24364B"/>
          <w:sz w:val="22"/>
        </w:rPr>
        <w:t>高 SOC 日历存储可能持续驱动界面副反应。车辆或储能策略应结合用户需求限制满充停留，并用数据验证可用能量与耐久之间的最佳点。</w:t>
      </w:r>
    </w:p>
    <w:p>
      <w:pPr>
        <w:spacing w:before="60" w:after="60"/>
        <w:jc w:val="center"/>
      </w:pPr>
      <m:oMathPara>
        <m:oMath>
          <m:r>
            <m:t>P_loss = I²R</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P_loss 为欧姆发热功率，单位 W；I 为电流，单位 A；R 为等效电阻，单位 Ω。老化引起阻抗上升后，相同电流产生更多热，进一步加速不均匀老化。</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1550"/>
        <w:gridCol w:w="2600"/>
        <w:gridCol w:w="3000"/>
        <w:gridCol w:w="2210"/>
      </w:tblGrid>
      <w:tr>
        <w:trPr>
          <w:tblHeader w:val="true"/>
        </w:trPr>
        <w:tc>
          <w:tcPr>
            <w:tcW w:type="dxa" w:w="1550"/>
            <w:shd w:fill="17365D"/>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FFFFFF"/>
                <w:sz w:val="19"/>
              </w:rPr>
              <w:t>判断层级</w:t>
            </w:r>
          </w:p>
        </w:tc>
        <w:tc>
          <w:tcPr>
            <w:tcW w:type="dxa" w:w="26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必须回答</w:t>
            </w:r>
          </w:p>
        </w:tc>
        <w:tc>
          <w:tcPr>
            <w:tcW w:type="dxa" w:w="30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最低证据</w:t>
            </w:r>
          </w:p>
        </w:tc>
        <w:tc>
          <w:tcPr>
            <w:tcW w:type="dxa" w:w="221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未满足时行动</w:t>
            </w:r>
          </w:p>
        </w:tc>
      </w:tr>
      <w:tr>
        <w:tc>
          <w:tcPr>
            <w:tcW w:type="dxa" w:w="155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现象</w:t>
            </w:r>
          </w:p>
        </w:tc>
        <w:tc>
          <w:tcPr>
            <w:tcW w:type="dxa" w:w="26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观察是否真实且可重复</w:t>
            </w:r>
          </w:p>
        </w:tc>
        <w:tc>
          <w:tcPr>
            <w:tcW w:type="dxa" w:w="30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校准样 重复测量 原始记录</w:t>
            </w:r>
          </w:p>
        </w:tc>
        <w:tc>
          <w:tcPr>
            <w:tcW w:type="dxa" w:w="221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冻结结论并复核测量</w:t>
            </w:r>
          </w:p>
        </w:tc>
      </w:tr>
      <w:tr>
        <w:tc>
          <w:tcPr>
            <w:tcW w:type="dxa" w:w="155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关联</w:t>
            </w:r>
          </w:p>
        </w:tc>
        <w:tc>
          <w:tcPr>
            <w:tcW w:type="dxa" w:w="26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异常与哪些谱系因素同现</w:t>
            </w:r>
          </w:p>
        </w:tc>
        <w:tc>
          <w:tcPr>
            <w:tcW w:type="dxa" w:w="30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分层数据 时间与空间映射</w:t>
            </w:r>
          </w:p>
        </w:tc>
        <w:tc>
          <w:tcPr>
            <w:tcW w:type="dxa" w:w="221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扩大采样并保留竞争假设</w:t>
            </w:r>
          </w:p>
        </w:tc>
      </w:tr>
      <w:tr>
        <w:tc>
          <w:tcPr>
            <w:tcW w:type="dxa" w:w="155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机理</w:t>
            </w:r>
          </w:p>
        </w:tc>
        <w:tc>
          <w:tcPr>
            <w:tcW w:type="dxa" w:w="26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该因素为何造成该结果</w:t>
            </w:r>
          </w:p>
        </w:tc>
        <w:tc>
          <w:tcPr>
            <w:tcW w:type="dxa" w:w="30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物理模型 多方法表征</w:t>
            </w:r>
          </w:p>
        </w:tc>
        <w:tc>
          <w:tcPr>
            <w:tcW w:type="dxa" w:w="221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设计能区分假设的试验</w:t>
            </w:r>
          </w:p>
        </w:tc>
      </w:tr>
      <w:tr>
        <w:tc>
          <w:tcPr>
            <w:tcW w:type="dxa" w:w="155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根因</w:t>
            </w:r>
          </w:p>
        </w:tc>
        <w:tc>
          <w:tcPr>
            <w:tcW w:type="dxa" w:w="26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改变因素能否消除或复现</w:t>
            </w:r>
          </w:p>
        </w:tc>
        <w:tc>
          <w:tcPr>
            <w:tcW w:type="dxa" w:w="30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对照 干预 反证 连续验证</w:t>
            </w:r>
          </w:p>
        </w:tc>
        <w:tc>
          <w:tcPr>
            <w:tcW w:type="dxa" w:w="221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不得关闭或缩小隔离</w:t>
            </w:r>
          </w:p>
        </w:tc>
      </w:tr>
      <w:tr>
        <w:tc>
          <w:tcPr>
            <w:tcW w:type="dxa" w:w="155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控制</w:t>
            </w:r>
          </w:p>
        </w:tc>
        <w:tc>
          <w:tcPr>
            <w:tcW w:type="dxa" w:w="26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如何防止再发生和逃逸</w:t>
            </w:r>
          </w:p>
        </w:tc>
        <w:tc>
          <w:tcPr>
            <w:tcW w:type="dxa" w:w="30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控制计划 检出能力 反应记录</w:t>
            </w:r>
          </w:p>
        </w:tc>
        <w:tc>
          <w:tcPr>
            <w:tcW w:type="dxa" w:w="221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保持加严控制并升级</w:t>
            </w:r>
          </w:p>
        </w:tc>
      </w:tr>
    </w:tbl>
    <w:p>
      <w:pPr>
        <w:spacing w:after="40"/>
      </w:pPr>
    </w:p>
    <w:p>
      <w:pPr>
        <w:pStyle w:val="Heading1"/>
        <w:keepNext/>
        <w:keepLines/>
      </w:pPr>
      <w:r>
        <w:t>10 高镍电芯评审检查表</w:t>
      </w:r>
    </w:p>
    <w:p>
      <w:pPr>
        <w:spacing w:after="120" w:line="300" w:lineRule="auto"/>
      </w:pPr>
      <w:r>
        <w:rPr>
          <w:rFonts w:ascii="Microsoft YaHei" w:hAnsi="Microsoft YaHei" w:eastAsia="Microsoft YaHei"/>
          <w:b w:val="0"/>
          <w:i w:val="0"/>
          <w:color w:val="24364B"/>
          <w:sz w:val="22"/>
        </w:rPr>
        <w:t>高镍评审需要把材料标签转化为具体的成分、颗粒、表面、电极和工作窗口，并明确哪些证据来自半电池、全电芯或系统。</w:t>
      </w:r>
    </w:p>
    <w:p>
      <w:pPr>
        <w:spacing w:after="80" w:line="288" w:lineRule="auto"/>
        <w:numPr>
          <w:ilvl w:val="0"/>
          <w:numId w:val="22"/>
        </w:numPr>
      </w:pPr>
      <w:r>
        <w:rPr>
          <w:rFonts w:ascii="Microsoft YaHei" w:hAnsi="Microsoft YaHei" w:eastAsia="Microsoft YaHei"/>
          <w:b w:val="0"/>
          <w:i w:val="0"/>
          <w:color w:val="24364B"/>
          <w:sz w:val="21"/>
        </w:rPr>
        <w:t>记录真实化学计量、掺杂包覆、一次二次颗粒结构和批次波动，不只使用 NMC811 等简称。</w:t>
      </w:r>
    </w:p>
    <w:p>
      <w:pPr>
        <w:spacing w:after="80" w:line="288" w:lineRule="auto"/>
        <w:numPr>
          <w:ilvl w:val="0"/>
          <w:numId w:val="22"/>
        </w:numPr>
      </w:pPr>
      <w:r>
        <w:rPr>
          <w:rFonts w:ascii="Microsoft YaHei" w:hAnsi="Microsoft YaHei" w:eastAsia="Microsoft YaHei"/>
          <w:b w:val="0"/>
          <w:i w:val="0"/>
          <w:color w:val="24364B"/>
          <w:sz w:val="21"/>
        </w:rPr>
        <w:t>在目标上限电压、DOD、温度、倍率和存储 SOC 下验证容量、阻抗、气体与热稳定。</w:t>
      </w:r>
    </w:p>
    <w:p>
      <w:pPr>
        <w:spacing w:after="80" w:line="288" w:lineRule="auto"/>
        <w:numPr>
          <w:ilvl w:val="0"/>
          <w:numId w:val="22"/>
        </w:numPr>
      </w:pPr>
      <w:r>
        <w:rPr>
          <w:rFonts w:ascii="Microsoft YaHei" w:hAnsi="Microsoft YaHei" w:eastAsia="Microsoft YaHei"/>
          <w:b w:val="0"/>
          <w:i w:val="0"/>
          <w:color w:val="24364B"/>
          <w:sz w:val="21"/>
        </w:rPr>
        <w:t>追踪水分、残碱、颗粒破损、压实、孔隙和剥离，并与寿命谱系连接。</w:t>
      </w:r>
    </w:p>
    <w:p>
      <w:pPr>
        <w:spacing w:after="80" w:line="288" w:lineRule="auto"/>
        <w:numPr>
          <w:ilvl w:val="0"/>
          <w:numId w:val="22"/>
        </w:numPr>
      </w:pPr>
      <w:r>
        <w:rPr>
          <w:rFonts w:ascii="Microsoft YaHei" w:hAnsi="Microsoft YaHei" w:eastAsia="Microsoft YaHei"/>
          <w:b w:val="0"/>
          <w:i w:val="0"/>
          <w:color w:val="24364B"/>
          <w:sz w:val="21"/>
        </w:rPr>
        <w:t>将正极退化与负极析锂、活性锂损失和电解液消耗区分开，避免只凭容量曲线归因。</w:t>
      </w:r>
    </w:p>
    <w:p>
      <w:pPr>
        <w:spacing w:after="80" w:line="288" w:lineRule="auto"/>
        <w:numPr>
          <w:ilvl w:val="0"/>
          <w:numId w:val="22"/>
        </w:numPr>
      </w:pPr>
      <w:r>
        <w:rPr>
          <w:rFonts w:ascii="Microsoft YaHei" w:hAnsi="Microsoft YaHei" w:eastAsia="Microsoft YaHei"/>
          <w:b w:val="0"/>
          <w:i w:val="0"/>
          <w:color w:val="24364B"/>
          <w:sz w:val="21"/>
        </w:rPr>
        <w:t>对包覆、添加剂和充电策略使用对照组，确认收益没有转移为功率、产气或制造风险。</w:t>
      </w:r>
    </w:p>
    <w:p>
      <w:pPr>
        <w:pStyle w:val="Heading1"/>
        <w:keepNext/>
        <w:keepLines/>
      </w:pPr>
      <w:r>
        <w:t>11 典型故障场景 高 SOC 存储后阻抗跃升</w:t>
      </w:r>
    </w:p>
    <w:p>
      <w:pPr>
        <w:spacing w:after="120" w:line="300" w:lineRule="auto"/>
      </w:pPr>
      <w:r>
        <w:rPr>
          <w:rFonts w:ascii="Microsoft YaHei" w:hAnsi="Microsoft YaHei" w:eastAsia="Microsoft YaHei"/>
          <w:b w:val="0"/>
          <w:i w:val="0"/>
          <w:color w:val="24364B"/>
          <w:sz w:val="22"/>
        </w:rPr>
        <w:t>某高镍软包电芯在常温循环中容量保持可接受，但 45 ℃高 SOC 存储后 DCIR 和厚度显著上升。团队最初认为是负极 SEI 老化，然而气体分析与正极表面表征显示电解液氧化和表面重构贡献更明显。异常还与一批较高水分极片相关。</w:t>
      </w:r>
    </w:p>
    <w:p>
      <w:pPr>
        <w:spacing w:after="120" w:line="300" w:lineRule="auto"/>
      </w:pPr>
      <w:r>
        <w:rPr>
          <w:rFonts w:ascii="Microsoft YaHei" w:hAnsi="Microsoft YaHei" w:eastAsia="Microsoft YaHei"/>
          <w:b w:val="0"/>
          <w:i w:val="0"/>
          <w:color w:val="24364B"/>
          <w:sz w:val="22"/>
        </w:rPr>
        <w:t>该案例需要同时验证材料批次、制造暴露、界面化学和存储窗口，不能用单一阻抗指标把所有变化归为“高镍不稳定”。</w:t>
      </w:r>
    </w:p>
    <w:p>
      <w:pPr>
        <w:spacing w:after="80" w:line="288" w:lineRule="auto"/>
        <w:numPr>
          <w:ilvl w:val="0"/>
          <w:numId w:val="23"/>
        </w:numPr>
      </w:pPr>
      <w:r>
        <w:rPr>
          <w:rFonts w:ascii="Microsoft YaHei" w:hAnsi="Microsoft YaHei" w:eastAsia="Microsoft YaHei"/>
          <w:b w:val="0"/>
          <w:i w:val="0"/>
          <w:color w:val="24364B"/>
          <w:sz w:val="21"/>
        </w:rPr>
        <w:t>复核厚度、DCIR、容量和气体测量，按极片水分、材料批次、化成通道和存储位置重建谱系。</w:t>
      </w:r>
    </w:p>
    <w:p>
      <w:pPr>
        <w:spacing w:after="80" w:line="288" w:lineRule="auto"/>
        <w:numPr>
          <w:ilvl w:val="0"/>
          <w:numId w:val="23"/>
        </w:numPr>
      </w:pPr>
      <w:r>
        <w:rPr>
          <w:rFonts w:ascii="Microsoft YaHei" w:hAnsi="Microsoft YaHei" w:eastAsia="Microsoft YaHei"/>
          <w:b w:val="0"/>
          <w:i w:val="0"/>
          <w:color w:val="24364B"/>
          <w:sz w:val="21"/>
        </w:rPr>
        <w:t>设置不同 SOC、温度和存储时间的对照，分离工作窗口与批次因素的主效应和交互。</w:t>
      </w:r>
    </w:p>
    <w:p>
      <w:pPr>
        <w:spacing w:after="80" w:line="288" w:lineRule="auto"/>
        <w:numPr>
          <w:ilvl w:val="0"/>
          <w:numId w:val="23"/>
        </w:numPr>
      </w:pPr>
      <w:r>
        <w:rPr>
          <w:rFonts w:ascii="Microsoft YaHei" w:hAnsi="Microsoft YaHei" w:eastAsia="Microsoft YaHei"/>
          <w:b w:val="0"/>
          <w:i w:val="0"/>
          <w:color w:val="24364B"/>
          <w:sz w:val="21"/>
        </w:rPr>
        <w:t>用增量容量、EIS、气体、表面谱和截面形貌区分界面膜、结构重构、裂纹和活性锂损失。</w:t>
      </w:r>
    </w:p>
    <w:p>
      <w:pPr>
        <w:spacing w:after="80" w:line="288" w:lineRule="auto"/>
        <w:numPr>
          <w:ilvl w:val="0"/>
          <w:numId w:val="23"/>
        </w:numPr>
      </w:pPr>
      <w:r>
        <w:rPr>
          <w:rFonts w:ascii="Microsoft YaHei" w:hAnsi="Microsoft YaHei" w:eastAsia="Microsoft YaHei"/>
          <w:b w:val="0"/>
          <w:i w:val="0"/>
          <w:color w:val="24364B"/>
          <w:sz w:val="21"/>
        </w:rPr>
        <w:t>验证降低水分暴露、调整添加剂或包覆及降低满充停留的组合措施，并检查倍率代价。</w:t>
      </w:r>
    </w:p>
    <w:p>
      <w:pPr>
        <w:spacing w:after="80" w:line="288" w:lineRule="auto"/>
        <w:numPr>
          <w:ilvl w:val="0"/>
          <w:numId w:val="23"/>
        </w:numPr>
      </w:pPr>
      <w:r>
        <w:rPr>
          <w:rFonts w:ascii="Microsoft YaHei" w:hAnsi="Microsoft YaHei" w:eastAsia="Microsoft YaHei"/>
          <w:b w:val="0"/>
          <w:i w:val="0"/>
          <w:color w:val="24364B"/>
          <w:sz w:val="21"/>
        </w:rPr>
        <w:t>建立高 SOC 存储的早期预警、材料放行和环境控制标准，经长期确认后更新 BMS 策略。</w:t>
      </w:r>
    </w:p>
    <w:p>
      <w:pPr>
        <w:spacing w:after="120" w:line="300" w:lineRule="auto"/>
      </w:pPr>
      <w:r>
        <w:rPr>
          <w:rFonts w:ascii="Microsoft YaHei" w:hAnsi="Microsoft YaHei" w:eastAsia="Microsoft YaHei"/>
          <w:b w:val="0"/>
          <w:i w:val="0"/>
          <w:color w:val="24364B"/>
          <w:sz w:val="22"/>
        </w:rPr>
        <w:t>高镍退化是结构、界面、制造暴露和使用窗口的耦合结果；措施必须针对被证据支持的主导路径。</w:t>
      </w:r>
    </w:p>
    <w:p>
      <w:pPr>
        <w:pStyle w:val="Heading1"/>
        <w:keepNext/>
        <w:keepLines/>
      </w:pPr>
      <w:r>
        <w:t>12 常见误区与本期小结</w:t>
      </w:r>
    </w:p>
    <w:p>
      <w:pPr>
        <w:spacing w:after="120" w:line="300" w:lineRule="auto"/>
      </w:pPr>
      <w:r>
        <w:rPr>
          <w:rFonts w:ascii="Microsoft YaHei" w:hAnsi="Microsoft YaHei" w:eastAsia="Microsoft YaHei"/>
          <w:b/>
          <w:i w:val="0"/>
          <w:color w:val="17365D"/>
          <w:sz w:val="22"/>
        </w:rPr>
        <w:t xml:space="preserve">误区 1  </w:t>
      </w:r>
      <w:r>
        <w:rPr>
          <w:rFonts w:ascii="Microsoft YaHei" w:hAnsi="Microsoft YaHei" w:eastAsia="Microsoft YaHei"/>
          <w:b w:val="0"/>
          <w:i w:val="0"/>
          <w:color w:val="24364B"/>
          <w:sz w:val="22"/>
        </w:rPr>
        <w:t>镍越高能量一定越高。电芯能量还受可用窗口、首效、电极密度和非活性质量影响。</w:t>
      </w:r>
    </w:p>
    <w:p>
      <w:pPr>
        <w:spacing w:after="120" w:line="300" w:lineRule="auto"/>
      </w:pPr>
      <w:r>
        <w:rPr>
          <w:rFonts w:ascii="Microsoft YaHei" w:hAnsi="Microsoft YaHei" w:eastAsia="Microsoft YaHei"/>
          <w:b/>
          <w:i w:val="0"/>
          <w:color w:val="17365D"/>
          <w:sz w:val="22"/>
        </w:rPr>
        <w:t xml:space="preserve">误区 2  </w:t>
      </w:r>
      <w:r>
        <w:rPr>
          <w:rFonts w:ascii="Microsoft YaHei" w:hAnsi="Microsoft YaHei" w:eastAsia="Microsoft YaHei"/>
          <w:b w:val="0"/>
          <w:i w:val="0"/>
          <w:color w:val="24364B"/>
          <w:sz w:val="22"/>
        </w:rPr>
        <w:t>包覆可以解决所有高电压问题。包覆有助界面，但不能消除主体相变和机械应力。</w:t>
      </w:r>
    </w:p>
    <w:p>
      <w:pPr>
        <w:spacing w:after="120" w:line="300" w:lineRule="auto"/>
      </w:pPr>
      <w:r>
        <w:rPr>
          <w:rFonts w:ascii="Microsoft YaHei" w:hAnsi="Microsoft YaHei" w:eastAsia="Microsoft YaHei"/>
          <w:b/>
          <w:i w:val="0"/>
          <w:color w:val="17365D"/>
          <w:sz w:val="22"/>
        </w:rPr>
        <w:t xml:space="preserve">误区 3  </w:t>
      </w:r>
      <w:r>
        <w:rPr>
          <w:rFonts w:ascii="Microsoft YaHei" w:hAnsi="Microsoft YaHei" w:eastAsia="Microsoft YaHei"/>
          <w:b w:val="0"/>
          <w:i w:val="0"/>
          <w:color w:val="24364B"/>
          <w:sz w:val="22"/>
        </w:rPr>
        <w:t>单晶不会开裂也不会退化。单晶减少晶界，但仍可能有浓度梯度、相变和表面反应。</w:t>
      </w:r>
    </w:p>
    <w:p>
      <w:pPr>
        <w:spacing w:after="120" w:line="300" w:lineRule="auto"/>
      </w:pPr>
      <w:r>
        <w:rPr>
          <w:rFonts w:ascii="Microsoft YaHei" w:hAnsi="Microsoft YaHei" w:eastAsia="Microsoft YaHei"/>
          <w:b/>
          <w:i w:val="0"/>
          <w:color w:val="17365D"/>
          <w:sz w:val="22"/>
        </w:rPr>
        <w:t xml:space="preserve">误区 4  </w:t>
      </w:r>
      <w:r>
        <w:rPr>
          <w:rFonts w:ascii="Microsoft YaHei" w:hAnsi="Microsoft YaHei" w:eastAsia="Microsoft YaHei"/>
          <w:b w:val="0"/>
          <w:i w:val="0"/>
          <w:color w:val="24364B"/>
          <w:sz w:val="22"/>
        </w:rPr>
        <w:t>只要降低上限电压即可保证寿命。DOD、温度、倍率和 SOC 停留同样重要。</w:t>
      </w:r>
    </w:p>
    <w:p>
      <w:pPr>
        <w:spacing w:after="120" w:line="300" w:lineRule="auto"/>
      </w:pPr>
      <w:r>
        <w:rPr>
          <w:rFonts w:ascii="Microsoft YaHei" w:hAnsi="Microsoft YaHei" w:eastAsia="Microsoft YaHei"/>
          <w:b/>
          <w:i w:val="0"/>
          <w:color w:val="17365D"/>
          <w:sz w:val="22"/>
        </w:rPr>
        <w:t xml:space="preserve">误区 5  </w:t>
      </w:r>
      <w:r>
        <w:rPr>
          <w:rFonts w:ascii="Microsoft YaHei" w:hAnsi="Microsoft YaHei" w:eastAsia="Microsoft YaHei"/>
          <w:b w:val="0"/>
          <w:i w:val="0"/>
          <w:color w:val="24364B"/>
          <w:sz w:val="22"/>
        </w:rPr>
        <w:t>半电池材料数据可以直接预测整电芯。全电芯受负极、锂库存、电解液和结构件共同限制。</w:t>
      </w:r>
    </w:p>
    <w:p>
      <w:pPr>
        <w:spacing w:after="120" w:line="300" w:lineRule="auto"/>
      </w:pPr>
      <w:r>
        <w:rPr>
          <w:rFonts w:ascii="Microsoft YaHei" w:hAnsi="Microsoft YaHei" w:eastAsia="Microsoft YaHei"/>
          <w:b/>
          <w:i w:val="0"/>
          <w:color w:val="17365D"/>
          <w:sz w:val="22"/>
        </w:rPr>
        <w:t xml:space="preserve">本期小结  </w:t>
      </w:r>
      <w:r>
        <w:rPr>
          <w:rFonts w:ascii="Microsoft YaHei" w:hAnsi="Microsoft YaHei" w:eastAsia="Microsoft YaHei"/>
          <w:b w:val="0"/>
          <w:i w:val="0"/>
          <w:color w:val="24364B"/>
          <w:sz w:val="22"/>
        </w:rPr>
        <w:t>高镍三元用更高容量交换更窄的结构和界面稳定窗口。材料设计、颗粒形貌、制造环境、电解液和 BMS 必须围绕同一目标工况协同验证。</w:t>
      </w:r>
    </w:p>
    <w:p>
      <w:pPr>
        <w:pStyle w:val="Heading1"/>
        <w:keepNext/>
        <w:keepLines/>
      </w:pPr>
      <w:r>
        <w:t>13 思考题与简要答案</w:t>
      </w:r>
    </w:p>
    <w:p>
      <w:pPr>
        <w:keepNext/>
        <w:spacing w:before="100" w:after="60"/>
        <w:numPr>
          <w:ilvl w:val="0"/>
          <w:numId w:val="24"/>
        </w:numPr>
      </w:pPr>
      <w:r>
        <w:rPr>
          <w:rFonts w:ascii="Microsoft YaHei" w:hAnsi="Microsoft YaHei" w:eastAsia="Microsoft YaHei"/>
          <w:b/>
          <w:i w:val="0"/>
          <w:color w:val="17365D"/>
          <w:sz w:val="21"/>
        </w:rPr>
        <w:t>高镍为何通常带来更高容量？</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更多镍参与可逆氧化还原，可在充电时支持更多锂脱出，但稳定性代价随之增加。</w:t>
      </w:r>
    </w:p>
    <w:p>
      <w:pPr>
        <w:keepNext/>
        <w:spacing w:before="100" w:after="60"/>
        <w:numPr>
          <w:ilvl w:val="0"/>
          <w:numId w:val="24"/>
        </w:numPr>
      </w:pPr>
      <w:r>
        <w:rPr>
          <w:rFonts w:ascii="Microsoft YaHei" w:hAnsi="Microsoft YaHei" w:eastAsia="Microsoft YaHei"/>
          <w:b/>
          <w:i w:val="0"/>
          <w:color w:val="17365D"/>
          <w:sz w:val="21"/>
        </w:rPr>
        <w:t>多晶二次颗粒为何容易出现微裂纹？</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一次颗粒取向不同，高 SOC 晶格变化产生不一致应变并集中在晶界。</w:t>
      </w:r>
    </w:p>
    <w:p>
      <w:pPr>
        <w:keepNext/>
        <w:spacing w:before="100" w:after="60"/>
        <w:numPr>
          <w:ilvl w:val="0"/>
          <w:numId w:val="24"/>
        </w:numPr>
      </w:pPr>
      <w:r>
        <w:rPr>
          <w:rFonts w:ascii="Microsoft YaHei" w:hAnsi="Microsoft YaHei" w:eastAsia="Microsoft YaHei"/>
          <w:b/>
          <w:i w:val="0"/>
          <w:color w:val="17365D"/>
          <w:sz w:val="21"/>
        </w:rPr>
        <w:t>为什么高电压会增加界面阻抗？</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电解液氧化、界面膜生长和表面岩盐样重构会阻碍锂传输。</w:t>
      </w:r>
    </w:p>
    <w:p>
      <w:pPr>
        <w:keepNext/>
        <w:spacing w:before="100" w:after="60"/>
        <w:numPr>
          <w:ilvl w:val="0"/>
          <w:numId w:val="24"/>
        </w:numPr>
      </w:pPr>
      <w:r>
        <w:rPr>
          <w:rFonts w:ascii="Microsoft YaHei" w:hAnsi="Microsoft YaHei" w:eastAsia="Microsoft YaHei"/>
          <w:b/>
          <w:i w:val="0"/>
          <w:color w:val="17365D"/>
          <w:sz w:val="21"/>
        </w:rPr>
        <w:t>循环寿命比较必须报告哪些窗口？</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至少包括温度、倍率、上下限电压、DOD、SOC 停留和容量判定。</w:t>
      </w:r>
    </w:p>
    <w:p>
      <w:pPr>
        <w:keepNext/>
        <w:spacing w:before="100" w:after="60"/>
        <w:numPr>
          <w:ilvl w:val="0"/>
          <w:numId w:val="24"/>
        </w:numPr>
      </w:pPr>
      <w:r>
        <w:rPr>
          <w:rFonts w:ascii="Microsoft YaHei" w:hAnsi="Microsoft YaHei" w:eastAsia="Microsoft YaHei"/>
          <w:b/>
          <w:i w:val="0"/>
          <w:color w:val="17365D"/>
          <w:sz w:val="21"/>
        </w:rPr>
        <w:t>为什么制造水分对高镍尤其重要？</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表面反应和残余锂化合物可能放大浆料、产气与界面副反应风险。</w:t>
      </w:r>
    </w:p>
    <w:p>
      <w:pPr>
        <w:pStyle w:val="Heading1"/>
        <w:keepNext/>
        <w:keepLines/>
      </w:pPr>
      <w:r>
        <w:t>14 下一期预告</w:t>
      </w:r>
    </w:p>
    <w:p>
      <w:pPr>
        <w:spacing w:after="120" w:line="300" w:lineRule="auto"/>
      </w:pPr>
      <w:r>
        <w:rPr>
          <w:rFonts w:ascii="Microsoft YaHei" w:hAnsi="Microsoft YaHei" w:eastAsia="Microsoft YaHei"/>
          <w:b/>
          <w:i w:val="0"/>
          <w:color w:val="17365D"/>
          <w:sz w:val="22"/>
        </w:rPr>
        <w:t xml:space="preserve">第 13 期  </w:t>
      </w:r>
      <w:r>
        <w:rPr>
          <w:rFonts w:ascii="Microsoft YaHei" w:hAnsi="Microsoft YaHei" w:eastAsia="Microsoft YaHei"/>
          <w:b w:val="0"/>
          <w:i w:val="0"/>
          <w:color w:val="24364B"/>
          <w:sz w:val="22"/>
        </w:rPr>
        <w:t>锰铁锂 LMFP 与复合方案  将分析锰取代带来的电压收益、锰相关失效、电子与离子动力学，以及与 LFP/NMC 复合的设计逻辑。</w:t>
      </w:r>
    </w:p>
    <w:p>
      <w:pPr>
        <w:pStyle w:val="Heading1"/>
        <w:keepNext/>
        <w:keepLines/>
      </w:pPr>
      <w:r>
        <w:t>附录 来源与延伸阅读</w:t>
      </w:r>
    </w:p>
    <w:p>
      <w:pPr>
        <w:spacing w:after="100" w:line="269" w:lineRule="auto"/>
        <w:ind w:left="259" w:hanging="259"/>
      </w:pPr>
      <w:r>
        <w:rPr>
          <w:rFonts w:ascii="Microsoft YaHei" w:hAnsi="Microsoft YaHei" w:eastAsia="Microsoft YaHei"/>
          <w:b w:val="0"/>
          <w:i w:val="0"/>
          <w:color w:val="24364B"/>
          <w:sz w:val="17"/>
        </w:rPr>
        <w:t>[1] Li, W. et al. Mn versus Al in Layered Oxide Cathodes in Lithium-Ion Batteries: A Comprehensive Evaluation on Long-Term Cyclability. ORNL, 2018. https://www.ornl.gov/publication/mn-versus-al-layered-oxide-cathodes-lithium-ion-batteries-comprehensive-evaluation-long （访问日期：2026-09-13）。</w:t>
      </w:r>
    </w:p>
    <w:p>
      <w:pPr>
        <w:spacing w:after="100" w:line="269" w:lineRule="auto"/>
        <w:ind w:left="259" w:hanging="259"/>
      </w:pPr>
      <w:r>
        <w:rPr>
          <w:rFonts w:ascii="Microsoft YaHei" w:hAnsi="Microsoft YaHei" w:eastAsia="Microsoft YaHei"/>
          <w:b w:val="0"/>
          <w:i w:val="0"/>
          <w:color w:val="24364B"/>
          <w:sz w:val="17"/>
        </w:rPr>
        <w:t>[2] Long-Term Cyclability of NCM-811 at High Voltages in Lithium-Ion Batteries. ORNL publication record, 2020. https://impact.ornl.gov/en/publications/long-term-cyclability-of-ncm-811-at-high-voltages-in-lithium-ion-/ （访问日期：2026-09-13）。</w:t>
      </w:r>
    </w:p>
    <w:p>
      <w:pPr>
        <w:spacing w:after="100" w:line="269" w:lineRule="auto"/>
        <w:ind w:left="259" w:hanging="259"/>
      </w:pPr>
      <w:r>
        <w:rPr>
          <w:rFonts w:ascii="Microsoft YaHei" w:hAnsi="Microsoft YaHei" w:eastAsia="Microsoft YaHei"/>
          <w:b w:val="0"/>
          <w:i w:val="0"/>
          <w:color w:val="24364B"/>
          <w:sz w:val="17"/>
        </w:rPr>
        <w:t>[3] Capacity Fading Mechanisms in Ni-Rich Single-Crystal NCM Cathodes. ORNL publication record. https://impact.ornl.gov/en/publications/capacity-fading-mechanisms-in-ni-rich-single-crystal-ncm-cathodes/ （访问日期：2026-09-13）。</w:t>
      </w:r>
    </w:p>
    <w:p>
      <w:pPr>
        <w:spacing w:after="100" w:line="269" w:lineRule="auto"/>
        <w:ind w:left="259" w:hanging="259"/>
      </w:pPr>
      <w:r>
        <w:rPr>
          <w:rFonts w:ascii="Microsoft YaHei" w:hAnsi="Microsoft YaHei" w:eastAsia="Microsoft YaHei"/>
          <w:b w:val="0"/>
          <w:i w:val="0"/>
          <w:color w:val="24364B"/>
          <w:sz w:val="17"/>
        </w:rPr>
        <w:t>[4] Structural Degradation of High Voltage NMC Cathodes. ORNL publication record. https://impact.ornl.gov/en/publications/structural-degradation-of-high-voltage-lithium-nickel-manganese-c/ （访问日期：2026-09-13）。</w:t>
      </w:r>
    </w:p>
    <w:p>
      <w:pPr>
        <w:spacing w:after="100" w:line="269" w:lineRule="auto"/>
        <w:ind w:left="259" w:hanging="259"/>
      </w:pPr>
      <w:r>
        <w:rPr>
          <w:rFonts w:ascii="Microsoft YaHei" w:hAnsi="Microsoft YaHei" w:eastAsia="Microsoft YaHei"/>
          <w:b w:val="0"/>
          <w:i w:val="0"/>
          <w:color w:val="24364B"/>
          <w:sz w:val="17"/>
        </w:rPr>
        <w:t>[5] Understanding Discharge-Driven Growth of Cathode Impedance in Ni-Rich NMC Cathodes. ORNL accepted/in press record, 2026. https://impact.ornl.gov/en/publications/understanding-discharge-driven-growth-of-cathode-impedance-in-ni-/ （访问日期：2026-09-13）。</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left"/>
      </w:tabs>
    </w:pPr>
    <w:r>
      <w:rPr>
        <w:rFonts w:ascii="Microsoft YaHei" w:hAnsi="Microsoft YaHei" w:eastAsia="Microsoft YaHei"/>
        <w:b w:val="0"/>
        <w:i w:val="0"/>
        <w:color w:val="667085"/>
        <w:sz w:val="17"/>
      </w:rPr>
      <w:t>生成日期：2026-09-12</w:t>
    </w:r>
    <w:r>
      <w:tab/>
    </w:r>
    <w:r>
      <w:rPr>
        <w:rFonts w:ascii="Microsoft YaHei" w:hAnsi="Microsoft YaHei" w:eastAsia="Microsoft YaHei"/>
        <w:b w:val="0"/>
        <w:i w:val="0"/>
        <w:color w:val="667085"/>
        <w:sz w:val="17"/>
      </w:rPr>
      <w:t xml:space="preserve">第 </w:t>
    </w:r>
    <w:r>
      <w:rPr>
        <w:rFonts w:ascii="Microsoft YaHei" w:hAnsi="Microsoft YaHei" w:eastAsia="Microsoft YaHei"/>
        <w:b w:val="0"/>
        <w:i w:val="0"/>
        <w:color w:val="667085"/>
        <w:sz w:val="17"/>
      </w:rPr>
      <w:fldChar w:fldCharType="begin"/>
      <w:instrText xml:space="preserve"> PAGE </w:instrText>
      <w:fldChar w:fldCharType="separate"/>
      <w:t>1</w:t>
      <w:fldChar w:fldCharType="end"/>
    </w:r>
    <w:r>
      <w:rPr>
        <w:rFonts w:ascii="Microsoft YaHei" w:hAnsi="Microsoft YaHei" w:eastAsia="Microsoft YaHei"/>
        <w:b w:val="0"/>
        <w:i w:val="0"/>
        <w:color w:val="66708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Microsoft YaHei" w:hAnsi="Microsoft YaHei" w:eastAsia="Microsoft YaHei"/>
        <w:b/>
        <w:i w:val="0"/>
        <w:color w:val="000000"/>
        <w:sz w:val="17"/>
      </w:rPr>
      <w:t>动力电池深度学习  |  第 12 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0"/>
        <w:spacing w:after="80" w:line="300" w:lineRule="auto"/>
      </w:pPr>
    </w:lvl>
  </w:abstractNum>
  <w:abstractNum w:abstractNumId="10">
    <w:multiLevelType w:val="singleLevel"/>
    <w:lvl w:ilvl="0">
      <w:start w:val="1"/>
      <w:numFmt w:val="decimal"/>
      <w:lvlText w:val="%1."/>
      <w:suff w:val="tab"/>
      <w:pPr>
        <w:tabs>
          <w:tab w:val="num" w:pos="540"/>
        </w:tabs>
        <w:ind w:left="540" w:hanging="270"/>
        <w:spacing w:after="80" w:line="300" w:lineRule="auto"/>
      </w:pPr>
    </w:lvl>
  </w:abstract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abstractNum w:abstractNumId="12">
    <w:nsid w:val="0000000C"/>
    <w:tmpl w:val="A5A5000C"/>
    <w:multiLevelType w:val="singleLevel"/>
    <w:lvl w:ilvl="0">
      <w:start w:val="1"/>
      <w:numFmt w:val="decimal"/>
      <w:lvlText w:val="%1."/>
      <w:suff w:val="tab"/>
      <w:pPr>
        <w:tabs>
          <w:tab w:val="num" w:pos="540"/>
        </w:tabs>
        <w:ind w:left="540" w:hanging="300"/>
      </w:pPr>
    </w:lvl>
  </w:abstractNum>
  <w:num w:numId="13">
    <w:abstractNumId w:val="12"/>
    <w:lvlOverride w:ilvl="0">
      <w:startOverride w:val="1"/>
    </w:lvlOverride>
  </w:num>
  <w:abstractNum w:abstractNumId="13">
    <w:nsid w:val="0000000D"/>
    <w:tmpl w:val="A5A5000D"/>
    <w:multiLevelType w:val="singleLevel"/>
    <w:lvl w:ilvl="0">
      <w:start w:val="1"/>
      <w:numFmt w:val="decimal"/>
      <w:lvlText w:val="%1."/>
      <w:suff w:val="tab"/>
      <w:pPr>
        <w:tabs>
          <w:tab w:val="num" w:pos="540"/>
        </w:tabs>
        <w:ind w:left="540" w:hanging="300"/>
      </w:pPr>
    </w:lvl>
  </w:abstractNum>
  <w:num w:numId="14">
    <w:abstractNumId w:val="13"/>
    <w:lvlOverride w:ilvl="0">
      <w:startOverride w:val="1"/>
    </w:lvlOverride>
  </w:num>
  <w:abstractNum w:abstractNumId="14">
    <w:nsid w:val="0000000E"/>
    <w:tmpl w:val="A5A5000E"/>
    <w:multiLevelType w:val="singleLevel"/>
    <w:lvl w:ilvl="0">
      <w:start w:val="1"/>
      <w:numFmt w:val="decimal"/>
      <w:lvlText w:val="%1."/>
      <w:suff w:val="tab"/>
      <w:pPr>
        <w:tabs>
          <w:tab w:val="num" w:pos="540"/>
        </w:tabs>
        <w:ind w:left="540" w:hanging="300"/>
      </w:pPr>
    </w:lvl>
  </w:abstractNum>
  <w:num w:numId="15">
    <w:abstractNumId w:val="14"/>
    <w:lvlOverride w:ilvl="0">
      <w:startOverride w:val="1"/>
    </w:lvlOverride>
  </w:num>
  <w:num w:numId="16">
    <w:abstractNumId w:val="12"/>
    <w:lvlOverride w:ilvl="0">
      <w:startOverride w:val="1"/>
    </w:lvlOverride>
  </w:num>
  <w:num w:numId="17">
    <w:abstractNumId w:val="13"/>
    <w:lvlOverride w:ilvl="0">
      <w:startOverride w:val="1"/>
    </w:lvlOverride>
  </w:num>
  <w:num w:numId="18">
    <w:abstractNumId w:val="13"/>
    <w:lvlOverride w:ilvl="0">
      <w:startOverride w:val="1"/>
    </w:lvlOverride>
  </w:num>
  <w:num w:numId="19">
    <w:abstractNumId w:val="14"/>
    <w:lvlOverride w:ilvl="0">
      <w:startOverride w:val="1"/>
    </w:lvlOverride>
  </w:num>
  <w:abstractNum w:abstractNumId="15">
    <w:nsid w:val="0000000F"/>
    <w:tmpl w:val="B6B6000F"/>
    <w:multiLevelType w:val="singleLevel"/>
    <w:lvl w:ilvl="0">
      <w:start w:val="1"/>
      <w:numFmt w:val="decimal"/>
      <w:lvlText w:val="%1."/>
      <w:suff w:val="tab"/>
      <w:pPr>
        <w:tabs>
          <w:tab w:val="num" w:pos="540"/>
        </w:tabs>
        <w:ind w:left="540" w:hanging="300"/>
      </w:pPr>
    </w:lvl>
  </w:abstractNum>
  <w:num w:numId="20">
    <w:abstractNumId w:val="15"/>
  </w:num>
  <w:num w:numId="21">
    <w:abstractNumId w:val="15"/>
    <w:lvlOverride w:ilvl="0">
      <w:startOverride w:val="1"/>
    </w:lvlOverride>
  </w:num>
  <w:num w:numId="22">
    <w:abstractNumId w:val="15"/>
    <w:lvlOverride w:ilvl="0">
      <w:startOverride w:val="1"/>
    </w:lvlOverride>
  </w:num>
  <w:num w:numId="23">
    <w:abstractNumId w:val="15"/>
    <w:lvlOverride w:ilvl="0">
      <w:startOverride w:val="1"/>
    </w:lvlOverride>
  </w:num>
  <w:num w:numId="24">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Microsoft YaHei"/>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Microsoft YaHei" w:hAnsi="Microsoft YaHei"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jc w:val="center"/>
    </w:pPr>
    <w:rPr>
      <w:rFonts w:asciiTheme="majorHAnsi" w:eastAsiaTheme="majorEastAsia" w:hAnsiTheme="majorHAnsi" w:cstheme="majorBidi" w:ascii="Microsoft YaHei" w:hAnsi="Microsoft YaHei" w:eastAsia="Microsoft YaHe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三元正极与高镍电芯</dc:title>
  <dc:subject>动力电池深度学习第12期</dc:subject>
  <dc:creator>动力电池深度学习计划</dc:creator>
  <cp:keywords>动力电池, 锂离子电池, 制造质量, 工程学习</cp:keywords>
  <dc:description>generated by python-docx</dc:description>
  <cp:lastModifiedBy/>
  <cp:revision>1</cp:revision>
  <dcterms:created xsi:type="dcterms:W3CDTF">2013-12-23T23:15:00Z</dcterms:created>
  <dcterms:modified xsi:type="dcterms:W3CDTF">2013-12-23T23:15:00Z</dcterms:modified>
  <cp:category/>
</cp:coreProperties>
</file>