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600"/>
        <w:jc w:val="center"/>
      </w:pPr>
      <w:r>
        <w:rPr>
          <w:rFonts w:ascii="Microsoft YaHei" w:hAnsi="Microsoft YaHei" w:eastAsia="Microsoft YaHei"/>
          <w:b/>
          <w:i w:val="0"/>
          <w:color w:val="000000"/>
          <w:sz w:val="25"/>
        </w:rPr>
        <w:t>动力电池深度学习  60 天进阶课程</w:t>
      </w:r>
    </w:p>
    <w:p>
      <w:pPr>
        <w:pStyle w:val="Title"/>
        <w:jc w:val="center"/>
      </w:pPr>
      <w:r>
        <w:t>锰铁锂 LMFP 与复合方案</w:t>
      </w:r>
    </w:p>
    <w:p>
      <w:pPr>
        <w:spacing w:after="560"/>
        <w:jc w:val="center"/>
      </w:pPr>
      <w:r>
        <w:rPr>
          <w:rFonts w:ascii="Microsoft YaHei" w:hAnsi="Microsoft YaHei" w:eastAsia="Microsoft YaHei"/>
          <w:b w:val="0"/>
          <w:i w:val="0"/>
          <w:color w:val="000000"/>
          <w:sz w:val="31"/>
        </w:rPr>
        <w:t>锰取代  双平台反应  失效路径  体系复合</w:t>
      </w:r>
    </w:p>
    <w:p>
      <w:pPr>
        <w:spacing w:after="920"/>
        <w:jc w:val="center"/>
      </w:pPr>
      <w:r>
        <w:rPr>
          <w:rFonts w:ascii="Microsoft YaHei" w:hAnsi="Microsoft YaHei" w:eastAsia="Microsoft YaHei"/>
          <w:b/>
          <w:i w:val="0"/>
          <w:color w:val="667085"/>
          <w:sz w:val="23"/>
        </w:rPr>
        <w:t>第 13 期  |  2026-09-13  |  制造质量</w:t>
      </w:r>
    </w:p>
    <w:p>
      <w:pPr>
        <w:spacing w:after="120" w:line="300" w:lineRule="auto"/>
      </w:pPr>
      <w:r>
        <w:rPr>
          <w:rFonts w:ascii="Microsoft YaHei" w:hAnsi="Microsoft YaHei" w:eastAsia="Microsoft YaHei"/>
          <w:b/>
          <w:i w:val="0"/>
          <w:color w:val="17365D"/>
          <w:sz w:val="22"/>
        </w:rPr>
        <w:t xml:space="preserve">本期结论  </w:t>
      </w:r>
      <w:r>
        <w:rPr>
          <w:rFonts w:ascii="Microsoft YaHei" w:hAnsi="Microsoft YaHei" w:eastAsia="Microsoft YaHei"/>
          <w:b w:val="0"/>
          <w:i w:val="0"/>
          <w:color w:val="24364B"/>
          <w:sz w:val="22"/>
        </w:rPr>
        <w:t>LMFP 通过引入较高电位的 Mn2+/Mn3+ 反应提升橄榄石体系能量，但同时带来更慢动力学、Mn3+ Jahn–Teller 应变、锰溶解和电压衰减；掺杂、包覆与复合必须围绕这些失效路径验证。</w:t>
      </w:r>
    </w:p>
    <w:p>
      <w:pPr>
        <w:spacing w:after="120" w:line="300" w:lineRule="auto" w:before="360"/>
      </w:pPr>
      <w:r>
        <w:rPr>
          <w:rFonts w:ascii="Microsoft YaHei" w:hAnsi="Microsoft YaHei" w:eastAsia="Microsoft YaHei"/>
          <w:b/>
          <w:i w:val="0"/>
          <w:color w:val="17365D"/>
          <w:sz w:val="20"/>
        </w:rPr>
        <w:t xml:space="preserve">阅读方法  </w:t>
      </w:r>
      <w:r>
        <w:rPr>
          <w:rFonts w:ascii="Microsoft YaHei" w:hAnsi="Microsoft YaHei" w:eastAsia="Microsoft YaHei"/>
          <w:b w:val="0"/>
          <w:i/>
          <w:color w:val="24364B"/>
          <w:sz w:val="20"/>
        </w:rPr>
        <w:t>先比较 LFP 与 LMFP 的结构和双平台，再分析 Fe/Mn 比、应变与界面失效，最后学习 LFP/LMFP/NMC 复合如何在能量、功率、寿命和安全之间分配功能。</w:t>
      </w:r>
    </w:p>
    <w:p>
      <w:r>
        <w:br w:type="page"/>
      </w:r>
    </w:p>
    <w:p>
      <w:pPr>
        <w:pStyle w:val="Heading1"/>
        <w:keepNext/>
        <w:keepLines/>
      </w:pPr>
      <w:r>
        <w:t>1 本期学习目标</w:t>
      </w:r>
    </w:p>
    <w:p>
      <w:pPr>
        <w:spacing w:after="80" w:line="288" w:lineRule="auto"/>
        <w:numPr>
          <w:ilvl w:val="0"/>
          <w:numId w:val="21"/>
        </w:numPr>
      </w:pPr>
      <w:r>
        <w:rPr>
          <w:rFonts w:ascii="Microsoft YaHei" w:hAnsi="Microsoft YaHei" w:eastAsia="Microsoft YaHei"/>
          <w:b w:val="0"/>
          <w:i w:val="0"/>
          <w:color w:val="24364B"/>
          <w:sz w:val="21"/>
        </w:rPr>
        <w:t>解释 LiMnyFe1−yPO4 中 Fe 与 Mn 氧化还原平台及其能量贡献。</w:t>
      </w:r>
    </w:p>
    <w:p>
      <w:pPr>
        <w:spacing w:after="80" w:line="288" w:lineRule="auto"/>
        <w:numPr>
          <w:ilvl w:val="0"/>
          <w:numId w:val="21"/>
        </w:numPr>
      </w:pPr>
      <w:r>
        <w:rPr>
          <w:rFonts w:ascii="Microsoft YaHei" w:hAnsi="Microsoft YaHei" w:eastAsia="Microsoft YaHei"/>
          <w:b w:val="0"/>
          <w:i w:val="0"/>
          <w:color w:val="24364B"/>
          <w:sz w:val="21"/>
        </w:rPr>
        <w:t>理解 Mn3+ Jahn–Teller 畸变、微裂纹、锰溶解和界面副反应的耦合。</w:t>
      </w:r>
    </w:p>
    <w:p>
      <w:pPr>
        <w:spacing w:after="80" w:line="288" w:lineRule="auto"/>
        <w:numPr>
          <w:ilvl w:val="0"/>
          <w:numId w:val="21"/>
        </w:numPr>
      </w:pPr>
      <w:r>
        <w:rPr>
          <w:rFonts w:ascii="Microsoft YaHei" w:hAnsi="Microsoft YaHei" w:eastAsia="Microsoft YaHei"/>
          <w:b w:val="0"/>
          <w:i w:val="0"/>
          <w:color w:val="24364B"/>
          <w:sz w:val="21"/>
        </w:rPr>
        <w:t>分析 Fe/Mn 比、碳包覆、掺杂和颗粒结构对容量、倍率及电压衰减的影响。</w:t>
      </w:r>
    </w:p>
    <w:p>
      <w:pPr>
        <w:spacing w:after="80" w:line="288" w:lineRule="auto"/>
        <w:numPr>
          <w:ilvl w:val="0"/>
          <w:numId w:val="21"/>
        </w:numPr>
      </w:pPr>
      <w:r>
        <w:rPr>
          <w:rFonts w:ascii="Microsoft YaHei" w:hAnsi="Microsoft YaHei" w:eastAsia="Microsoft YaHei"/>
          <w:b w:val="0"/>
          <w:i w:val="0"/>
          <w:color w:val="24364B"/>
          <w:sz w:val="21"/>
        </w:rPr>
        <w:t>比较 LMFP 与 LFP、NMC 在能量、功率、寿命、安全和制造上的边界。</w:t>
      </w:r>
    </w:p>
    <w:p>
      <w:pPr>
        <w:spacing w:after="80" w:line="288" w:lineRule="auto"/>
        <w:numPr>
          <w:ilvl w:val="0"/>
          <w:numId w:val="21"/>
        </w:numPr>
      </w:pPr>
      <w:r>
        <w:rPr>
          <w:rFonts w:ascii="Microsoft YaHei" w:hAnsi="Microsoft YaHei" w:eastAsia="Microsoft YaHei"/>
          <w:b w:val="0"/>
          <w:i w:val="0"/>
          <w:color w:val="24364B"/>
          <w:sz w:val="21"/>
        </w:rPr>
        <w:t>建立物理混合、共包覆或分层电极等复合方案的验证框架。</w:t>
      </w:r>
    </w:p>
    <w:p>
      <w:pPr>
        <w:pStyle w:val="Heading1"/>
        <w:keepNext/>
        <w:keepLines/>
      </w:pPr>
      <w:r>
        <w:t>2 建立系统视角</w:t>
      </w:r>
    </w:p>
    <w:p>
      <w:pPr>
        <w:spacing w:after="120" w:line="300" w:lineRule="auto"/>
      </w:pPr>
      <w:r>
        <w:rPr>
          <w:rFonts w:ascii="Microsoft YaHei" w:hAnsi="Microsoft YaHei" w:eastAsia="Microsoft YaHei"/>
          <w:b w:val="0"/>
          <w:i w:val="0"/>
          <w:color w:val="24364B"/>
          <w:sz w:val="22"/>
        </w:rPr>
        <w:t>LMFP 通常表示橄榄石 LiMnyFe1−yPO4 固溶体系。以部分锰取代铁后，除了较低电位的 Fe2+/Fe3+ 平台，还可利用更高电位的 Mn2+/Mn3+ 反应，从而提升平均放电电压和理论活性材料能量。</w:t>
      </w:r>
    </w:p>
    <w:p>
      <w:pPr>
        <w:spacing w:after="120" w:line="300" w:lineRule="auto"/>
      </w:pPr>
      <w:r>
        <w:rPr>
          <w:rFonts w:ascii="Microsoft YaHei" w:hAnsi="Microsoft YaHei" w:eastAsia="Microsoft YaHei"/>
          <w:b w:val="0"/>
          <w:i w:val="0"/>
          <w:color w:val="24364B"/>
          <w:sz w:val="22"/>
        </w:rPr>
        <w:t>电压收益不是免费的。Mn 相关反应动力学通常更困难，Mn3+ 的 Jahn–Teller 活性会引入局部结构畸变；高电位也会增强与电解液的界面压力。Fe/Mn 比因此同时控制能量收益和退化强度。</w:t>
      </w:r>
    </w:p>
    <w:p>
      <w:pPr>
        <w:spacing w:after="120" w:line="300" w:lineRule="auto"/>
      </w:pPr>
      <w:r>
        <w:rPr>
          <w:rFonts w:ascii="Microsoft YaHei" w:hAnsi="Microsoft YaHei" w:eastAsia="Microsoft YaHei"/>
          <w:b w:val="0"/>
          <w:i w:val="0"/>
          <w:color w:val="24364B"/>
          <w:sz w:val="22"/>
        </w:rPr>
        <w:t>2026 年 LMFP/石墨软包研究把失效与界面和锰相关路径联系起来，包括应变、微裂纹、锰溶解及负极界面的交叉影响。[1] 这提醒我们必须在全电芯而不是半电池单点容量上评价 LMFP。</w:t>
      </w:r>
    </w:p>
    <w:p>
      <w:pPr>
        <w:keepNext/>
        <w:jc w:val="center"/>
      </w:pPr>
      <w:r>
        <w:drawing>
          <wp:inline xmlns:a="http://schemas.openxmlformats.org/drawingml/2006/main" xmlns:pic="http://schemas.openxmlformats.org/drawingml/2006/picture">
            <wp:extent cx="5806440" cy="2249995"/>
            <wp:docPr id="1" name="Picture 1" descr="LMFP 设计链条，连接成分、颗粒界面、电极结构、复合策略和系统窗口。" title="动力电池制造质量链示意图"/>
            <wp:cNvGraphicFramePr>
              <a:graphicFrameLocks noChangeAspect="1"/>
            </wp:cNvGraphicFramePr>
            <a:graphic>
              <a:graphicData uri="http://schemas.openxmlformats.org/drawingml/2006/picture">
                <pic:pic>
                  <pic:nvPicPr>
                    <pic:cNvPr id="0" name="day13_chain.png"/>
                    <pic:cNvPicPr/>
                  </pic:nvPicPr>
                  <pic:blipFill>
                    <a:blip r:embed="rId13"/>
                    <a:stretch>
                      <a:fillRect/>
                    </a:stretch>
                  </pic:blipFill>
                  <pic:spPr>
                    <a:xfrm>
                      <a:off x="0" y="0"/>
                      <a:ext cx="5806440" cy="2249995"/>
                    </a:xfrm>
                    <a:prstGeom prst="rect"/>
                  </pic:spPr>
                </pic:pic>
              </a:graphicData>
            </a:graphic>
          </wp:inline>
        </w:drawing>
      </w:r>
    </w:p>
    <w:p>
      <w:pPr>
        <w:keepNext/>
        <w:spacing w:before="60" w:after="160"/>
        <w:jc w:val="center"/>
      </w:pPr>
      <w:r>
        <w:rPr>
          <w:rFonts w:ascii="Microsoft YaHei" w:hAnsi="Microsoft YaHei" w:eastAsia="Microsoft YaHei"/>
          <w:b w:val="0"/>
          <w:i/>
          <w:color w:val="667085"/>
          <w:sz w:val="18"/>
        </w:rPr>
        <w:t>图 1  LMFP 从 Fe/Mn 比到复合电芯窗口的设计链条  本文绘制</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1750"/>
        <w:gridCol w:w="2350"/>
        <w:gridCol w:w="2750"/>
        <w:gridCol w:w="2510"/>
      </w:tblGrid>
      <w:tr>
        <w:trPr>
          <w:tblHeader w:val="true"/>
        </w:trPr>
        <w:tc>
          <w:tcPr>
            <w:tcW w:type="dxa" w:w="1750"/>
            <w:shd w:fill="17365D"/>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FFFFFF"/>
                <w:sz w:val="19"/>
              </w:rPr>
              <w:t>体系</w:t>
            </w:r>
          </w:p>
        </w:tc>
        <w:tc>
          <w:tcPr>
            <w:tcW w:type="dxa" w:w="235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主要优势</w:t>
            </w:r>
          </w:p>
        </w:tc>
        <w:tc>
          <w:tcPr>
            <w:tcW w:type="dxa" w:w="275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主要边界</w:t>
            </w:r>
          </w:p>
        </w:tc>
        <w:tc>
          <w:tcPr>
            <w:tcW w:type="dxa" w:w="251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典型用途逻辑</w:t>
            </w:r>
          </w:p>
        </w:tc>
      </w:tr>
      <w:tr>
        <w:tc>
          <w:tcPr>
            <w:tcW w:type="dxa" w:w="17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LFP</w:t>
            </w:r>
          </w:p>
        </w:tc>
        <w:tc>
          <w:tcPr>
            <w:tcW w:type="dxa" w:w="23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稳定 成熟 成本可控</w:t>
            </w:r>
          </w:p>
        </w:tc>
        <w:tc>
          <w:tcPr>
            <w:tcW w:type="dxa" w:w="27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平均电压和压实能量较低</w:t>
            </w:r>
          </w:p>
        </w:tc>
        <w:tc>
          <w:tcPr>
            <w:tcW w:type="dxa" w:w="25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寿命 安全 成本优先</w:t>
            </w:r>
          </w:p>
        </w:tc>
      </w:tr>
      <w:tr>
        <w:tc>
          <w:tcPr>
            <w:tcW w:type="dxa" w:w="175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LMFP</w:t>
            </w:r>
          </w:p>
        </w:tc>
        <w:tc>
          <w:tcPr>
            <w:tcW w:type="dxa" w:w="235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较高平均电压 少镍钴</w:t>
            </w:r>
          </w:p>
        </w:tc>
        <w:tc>
          <w:tcPr>
            <w:tcW w:type="dxa" w:w="275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动力学 锰溶解 电压衰减</w:t>
            </w:r>
          </w:p>
        </w:tc>
        <w:tc>
          <w:tcPr>
            <w:tcW w:type="dxa" w:w="251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在橄榄石平台上提升能量</w:t>
            </w:r>
          </w:p>
        </w:tc>
      </w:tr>
      <w:tr>
        <w:tc>
          <w:tcPr>
            <w:tcW w:type="dxa" w:w="17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高镍 NMC</w:t>
            </w:r>
          </w:p>
        </w:tc>
        <w:tc>
          <w:tcPr>
            <w:tcW w:type="dxa" w:w="23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高比容量与高电压</w:t>
            </w:r>
          </w:p>
        </w:tc>
        <w:tc>
          <w:tcPr>
            <w:tcW w:type="dxa" w:w="27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热界面和结构敏感</w:t>
            </w:r>
          </w:p>
        </w:tc>
        <w:tc>
          <w:tcPr>
            <w:tcW w:type="dxa" w:w="25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能量密度优先</w:t>
            </w:r>
          </w:p>
        </w:tc>
      </w:tr>
      <w:tr>
        <w:tc>
          <w:tcPr>
            <w:tcW w:type="dxa" w:w="175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LMFP/LFP 复合</w:t>
            </w:r>
          </w:p>
        </w:tc>
        <w:tc>
          <w:tcPr>
            <w:tcW w:type="dxa" w:w="235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稳定基线加电压增益</w:t>
            </w:r>
          </w:p>
        </w:tc>
        <w:tc>
          <w:tcPr>
            <w:tcW w:type="dxa" w:w="275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双平台与比例管理</w:t>
            </w:r>
          </w:p>
        </w:tc>
        <w:tc>
          <w:tcPr>
            <w:tcW w:type="dxa" w:w="251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渐进提升能量和兼容性</w:t>
            </w:r>
          </w:p>
        </w:tc>
      </w:tr>
      <w:tr>
        <w:tc>
          <w:tcPr>
            <w:tcW w:type="dxa" w:w="17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LMFP/NMC 复合</w:t>
            </w:r>
          </w:p>
        </w:tc>
        <w:tc>
          <w:tcPr>
            <w:tcW w:type="dxa" w:w="23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能量 功率 成本可调</w:t>
            </w:r>
          </w:p>
        </w:tc>
        <w:tc>
          <w:tcPr>
            <w:tcW w:type="dxa" w:w="27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电位分布和界面更复杂</w:t>
            </w:r>
          </w:p>
        </w:tc>
        <w:tc>
          <w:tcPr>
            <w:tcW w:type="dxa" w:w="25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针对特定性能窗口优化</w:t>
            </w:r>
          </w:p>
        </w:tc>
      </w:tr>
    </w:tbl>
    <w:p>
      <w:pPr>
        <w:spacing w:after="40"/>
      </w:pPr>
    </w:p>
    <w:p>
      <w:pPr>
        <w:pStyle w:val="Heading1"/>
        <w:keepNext/>
        <w:keepLines/>
      </w:pPr>
      <w:r>
        <w:t>3 Fe/Mn 比决定双平台权重</w:t>
      </w:r>
    </w:p>
    <w:p>
      <w:pPr>
        <w:spacing w:after="120" w:line="300" w:lineRule="auto"/>
      </w:pPr>
      <w:r>
        <w:rPr>
          <w:rFonts w:ascii="Microsoft YaHei" w:hAnsi="Microsoft YaHei" w:eastAsia="Microsoft YaHei"/>
          <w:b w:val="0"/>
          <w:i w:val="0"/>
          <w:color w:val="24364B"/>
          <w:sz w:val="22"/>
        </w:rPr>
        <w:t>在理想化理解中，Fe 位点贡献较低电位平台，Mn 位点贡献较高电位平台。提高 Mn 比例能够抬高平均电压，但不同位点的利用率、极化和循环保持不会简单按比例线性变化。</w:t>
      </w:r>
    </w:p>
    <w:p>
      <w:pPr>
        <w:spacing w:after="120" w:line="300" w:lineRule="auto"/>
      </w:pPr>
      <w:r>
        <w:rPr>
          <w:rFonts w:ascii="Microsoft YaHei" w:hAnsi="Microsoft YaHei" w:eastAsia="Microsoft YaHei"/>
          <w:b w:val="0"/>
          <w:i w:val="0"/>
          <w:color w:val="24364B"/>
          <w:sz w:val="22"/>
        </w:rPr>
        <w:t>Fe/Mn 比还影响晶格参数、缺陷、相纯度和合成窗口。2025 年研究表明，前驱体分解和 Fe/Mn 比会影响 LMFP 二次相、应变不均和锂传输，并与电压衰减相关。[2]</w:t>
      </w:r>
    </w:p>
    <w:p>
      <w:pPr>
        <w:spacing w:after="120" w:line="300" w:lineRule="auto"/>
      </w:pPr>
      <w:r>
        <w:rPr>
          <w:rFonts w:ascii="Microsoft YaHei" w:hAnsi="Microsoft YaHei" w:eastAsia="Microsoft YaHei"/>
          <w:b w:val="0"/>
          <w:i w:val="0"/>
          <w:color w:val="24364B"/>
          <w:sz w:val="22"/>
        </w:rPr>
        <w:t>材料比较要报告实际化学计量、杂相、粒径、碳含量、压实密度和测试窗口。只有名义 Mn 比而没有结构与电极信息，无法解释性能差异。</w:t>
      </w:r>
    </w:p>
    <w:p>
      <w:pPr>
        <w:spacing w:before="60" w:after="60"/>
        <w:jc w:val="center"/>
      </w:pPr>
      <m:oMathPara>
        <m:oMath>
          <m:r>
            <m:t>V_avg = (∫V dQ) / Q_total</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V_avg 为平均放电电压，单位 V；V 为瞬时电压，单位 V；Q 为容量，单位 Ah；Q_total 为总放电容量，单位 Ah。Mn 平台利用率变化会同时改变分子和分母。</w:t>
      </w:r>
    </w:p>
    <w:p>
      <w:pPr>
        <w:pStyle w:val="Heading1"/>
        <w:keepNext/>
        <w:keepLines/>
      </w:pPr>
      <w:r>
        <w:t>4 Jahn–Teller 应变与电压衰减</w:t>
      </w:r>
    </w:p>
    <w:p>
      <w:pPr>
        <w:spacing w:after="120" w:line="300" w:lineRule="auto"/>
      </w:pPr>
      <w:r>
        <w:rPr>
          <w:rFonts w:ascii="Microsoft YaHei" w:hAnsi="Microsoft YaHei" w:eastAsia="Microsoft YaHei"/>
          <w:b w:val="0"/>
          <w:i w:val="0"/>
          <w:color w:val="24364B"/>
          <w:sz w:val="22"/>
        </w:rPr>
        <w:t>Mn3+ 电子构型可能导致 MnO6 八面体发生 Jahn–Teller 畸变。局部键长变化在反复充放电中转化为应变，若空间分布不均，会促进微裂纹和反应不均。</w:t>
      </w:r>
    </w:p>
    <w:p>
      <w:pPr>
        <w:spacing w:after="120" w:line="300" w:lineRule="auto"/>
      </w:pPr>
      <w:r>
        <w:rPr>
          <w:rFonts w:ascii="Microsoft YaHei" w:hAnsi="Microsoft YaHei" w:eastAsia="Microsoft YaHei"/>
          <w:b w:val="0"/>
          <w:i w:val="0"/>
          <w:color w:val="24364B"/>
          <w:sz w:val="22"/>
        </w:rPr>
        <w:t>裂纹暴露新表面，电解液继续反应并可能促进锰溶解。溶出的锰迁移到负极后会改变 SEI 化学和阻抗，使正极结构问题通过电解液跨越到负极。</w:t>
      </w:r>
    </w:p>
    <w:p>
      <w:pPr>
        <w:spacing w:after="120" w:line="300" w:lineRule="auto"/>
      </w:pPr>
      <w:r>
        <w:rPr>
          <w:rFonts w:ascii="Microsoft YaHei" w:hAnsi="Microsoft YaHei" w:eastAsia="Microsoft YaHei"/>
          <w:b w:val="0"/>
          <w:i w:val="0"/>
          <w:color w:val="24364B"/>
          <w:sz w:val="22"/>
        </w:rPr>
        <w:t>电压衰减可能同时包含热力学平台变化、极化增长、活性区域失联和两平台利用率变化。只比较固定容量点的电压不足以区分机理，应联合微分容量、阻抗和材料表征。</w:t>
      </w:r>
    </w:p>
    <w:p>
      <w:pPr>
        <w:spacing w:before="60" w:after="60"/>
        <w:jc w:val="center"/>
      </w:pPr>
      <m:oMathPara>
        <m:oMath>
          <m:r>
            <m:t>ΔV_decay = V_ref(N₀) − V_ref(N)</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ΔV_decay 为在统一参考容量或 SOC 处的电压衰减，单位 V；V_ref(N₀) 为初始参考循环电压；V_ref(N) 为第 N 次循环电压。比较时必须固定倍率、温度和容量基准。</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1700"/>
        <w:gridCol w:w="2600"/>
        <w:gridCol w:w="2650"/>
        <w:gridCol w:w="2410"/>
      </w:tblGrid>
      <w:tr>
        <w:trPr>
          <w:tblHeader w:val="true"/>
        </w:trPr>
        <w:tc>
          <w:tcPr>
            <w:tcW w:type="dxa" w:w="1700"/>
            <w:shd w:fill="17365D"/>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FFFFFF"/>
                <w:sz w:val="19"/>
              </w:rPr>
              <w:t>观测</w:t>
            </w:r>
          </w:p>
        </w:tc>
        <w:tc>
          <w:tcPr>
            <w:tcW w:type="dxa" w:w="26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可能路径</w:t>
            </w:r>
          </w:p>
        </w:tc>
        <w:tc>
          <w:tcPr>
            <w:tcW w:type="dxa" w:w="265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区分证据</w:t>
            </w:r>
          </w:p>
        </w:tc>
        <w:tc>
          <w:tcPr>
            <w:tcW w:type="dxa" w:w="241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避免误判</w:t>
            </w:r>
          </w:p>
        </w:tc>
      </w:tr>
      <w:tr>
        <w:tc>
          <w:tcPr>
            <w:tcW w:type="dxa" w:w="17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平均电压下降</w:t>
            </w:r>
          </w:p>
        </w:tc>
        <w:tc>
          <w:tcPr>
            <w:tcW w:type="dxa" w:w="26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平台利用变化或极化增加</w:t>
            </w:r>
          </w:p>
        </w:tc>
        <w:tc>
          <w:tcPr>
            <w:tcW w:type="dxa" w:w="26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dQ/dV EIS 分段容量</w:t>
            </w:r>
          </w:p>
        </w:tc>
        <w:tc>
          <w:tcPr>
            <w:tcW w:type="dxa" w:w="24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不要只看终点电压</w:t>
            </w:r>
          </w:p>
        </w:tc>
      </w:tr>
      <w:tr>
        <w:tc>
          <w:tcPr>
            <w:tcW w:type="dxa" w:w="170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阻抗上升</w:t>
            </w:r>
          </w:p>
        </w:tc>
        <w:tc>
          <w:tcPr>
            <w:tcW w:type="dxa" w:w="26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CEI 增厚 裂纹 接触损失</w:t>
            </w:r>
          </w:p>
        </w:tc>
        <w:tc>
          <w:tcPr>
            <w:tcW w:type="dxa" w:w="265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频谱 温度依赖 截面</w:t>
            </w:r>
          </w:p>
        </w:tc>
        <w:tc>
          <w:tcPr>
            <w:tcW w:type="dxa" w:w="241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不要归因于单一界面</w:t>
            </w:r>
          </w:p>
        </w:tc>
      </w:tr>
      <w:tr>
        <w:tc>
          <w:tcPr>
            <w:tcW w:type="dxa" w:w="17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锰出现在负极</w:t>
            </w:r>
          </w:p>
        </w:tc>
        <w:tc>
          <w:tcPr>
            <w:tcW w:type="dxa" w:w="26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溶解迁移和 SEI 捕获</w:t>
            </w:r>
          </w:p>
        </w:tc>
        <w:tc>
          <w:tcPr>
            <w:tcW w:type="dxa" w:w="26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ICP 表面谱 空白对照</w:t>
            </w:r>
          </w:p>
        </w:tc>
        <w:tc>
          <w:tcPr>
            <w:tcW w:type="dxa" w:w="24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控制拆解污染</w:t>
            </w:r>
          </w:p>
        </w:tc>
      </w:tr>
      <w:tr>
        <w:tc>
          <w:tcPr>
            <w:tcW w:type="dxa" w:w="170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容量衰减</w:t>
            </w:r>
          </w:p>
        </w:tc>
        <w:tc>
          <w:tcPr>
            <w:tcW w:type="dxa" w:w="26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活性锂损失或活性物质失联</w:t>
            </w:r>
          </w:p>
        </w:tc>
        <w:tc>
          <w:tcPr>
            <w:tcW w:type="dxa" w:w="265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半电池复测 库仑效率</w:t>
            </w:r>
          </w:p>
        </w:tc>
        <w:tc>
          <w:tcPr>
            <w:tcW w:type="dxa" w:w="241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区分库存与材料损失</w:t>
            </w:r>
          </w:p>
        </w:tc>
      </w:tr>
    </w:tbl>
    <w:p>
      <w:pPr>
        <w:spacing w:after="40"/>
      </w:pPr>
    </w:p>
    <w:p>
      <w:pPr>
        <w:pStyle w:val="Heading1"/>
        <w:keepNext/>
        <w:keepLines/>
      </w:pPr>
      <w:r>
        <w:t>5 碳包覆和导电网络仍是基础</w:t>
      </w:r>
    </w:p>
    <w:p>
      <w:pPr>
        <w:spacing w:after="120" w:line="300" w:lineRule="auto"/>
      </w:pPr>
      <w:r>
        <w:rPr>
          <w:rFonts w:ascii="Microsoft YaHei" w:hAnsi="Microsoft YaHei" w:eastAsia="Microsoft YaHei"/>
          <w:b w:val="0"/>
          <w:i w:val="0"/>
          <w:color w:val="24364B"/>
          <w:sz w:val="22"/>
        </w:rPr>
        <w:t>LMFP 继承橄榄石体系电子电导较低的特点，Mn 比例提高后动力学挑战通常更突出。连续碳包覆、颗粒接触和电极导电网络决定高电位平台能否在目标倍率下充分利用。</w:t>
      </w:r>
    </w:p>
    <w:p>
      <w:pPr>
        <w:spacing w:after="120" w:line="300" w:lineRule="auto"/>
      </w:pPr>
      <w:r>
        <w:rPr>
          <w:rFonts w:ascii="Microsoft YaHei" w:hAnsi="Microsoft YaHei" w:eastAsia="Microsoft YaHei"/>
          <w:b w:val="0"/>
          <w:i w:val="0"/>
          <w:color w:val="24364B"/>
          <w:sz w:val="22"/>
        </w:rPr>
        <w:t>碳含量增加可以降低电子路径阻力，但会稀释活性物质、降低压实密度并增加表面积。碳的结构、厚度和均匀性往往比总含量更重要。</w:t>
      </w:r>
    </w:p>
    <w:p>
      <w:pPr>
        <w:spacing w:after="120" w:line="300" w:lineRule="auto"/>
      </w:pPr>
      <w:r>
        <w:rPr>
          <w:rFonts w:ascii="Microsoft YaHei" w:hAnsi="Microsoft YaHei" w:eastAsia="Microsoft YaHei"/>
          <w:b w:val="0"/>
          <w:i w:val="0"/>
          <w:color w:val="24364B"/>
          <w:sz w:val="22"/>
        </w:rPr>
        <w:t>导电剂网络还会被辊压和粘结剂分布改变。粉末电导良好不代表厚电极中纵向路径连续，因此需要通过极片电阻、截面和倍率的联合证据评价。</w:t>
      </w:r>
    </w:p>
    <w:p>
      <w:pPr>
        <w:spacing w:before="60" w:after="60"/>
        <w:jc w:val="center"/>
      </w:pPr>
      <m:oMathPara>
        <m:oMath>
          <m:r>
            <m:t>σ_eff = L / (R A)</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σ_eff 为电极厚度方向的等效电导率，单位 S·m⁻¹；L 为样品厚度，单位 m；R 为测得电阻，单位 Ω；A 为受测面积，单位 m²。接触电阻和夹具压力必须被控制。</w:t>
      </w:r>
    </w:p>
    <w:p>
      <w:pPr>
        <w:pStyle w:val="Heading1"/>
        <w:keepNext/>
        <w:keepLines/>
      </w:pPr>
      <w:r>
        <w:t>6 掺杂、梯度与包覆要对应失效路径</w:t>
      </w:r>
    </w:p>
    <w:p>
      <w:pPr>
        <w:spacing w:after="120" w:line="300" w:lineRule="auto"/>
      </w:pPr>
      <w:r>
        <w:rPr>
          <w:rFonts w:ascii="Microsoft YaHei" w:hAnsi="Microsoft YaHei" w:eastAsia="Microsoft YaHei"/>
          <w:b w:val="0"/>
          <w:i w:val="0"/>
          <w:color w:val="24364B"/>
          <w:sz w:val="22"/>
        </w:rPr>
        <w:t>体相掺杂可用于调节缺陷、局部结构和迁移能垒；浓度梯度试图在颗粒内部与表面分配不同功能；表面包覆则主要减少电解液直接接触并稳定界面。三者作用位置不同，不能互相替代。</w:t>
      </w:r>
    </w:p>
    <w:p>
      <w:pPr>
        <w:spacing w:after="120" w:line="300" w:lineRule="auto"/>
      </w:pPr>
      <w:r>
        <w:rPr>
          <w:rFonts w:ascii="Microsoft YaHei" w:hAnsi="Microsoft YaHei" w:eastAsia="Microsoft YaHei"/>
          <w:b w:val="0"/>
          <w:i w:val="0"/>
          <w:color w:val="24364B"/>
          <w:sz w:val="22"/>
        </w:rPr>
        <w:t>2025 年 Zn 梯度掺杂研究报告了对 Mn 富集 LMFP 循环稳定和电压衰减的改善。[3] 这是特定材料与条件下的证据，工程采用前仍需确认对容量、倍率、压实、成本和工艺一致性的影响。</w:t>
      </w:r>
    </w:p>
    <w:p>
      <w:pPr>
        <w:spacing w:after="120" w:line="300" w:lineRule="auto"/>
      </w:pPr>
      <w:r>
        <w:rPr>
          <w:rFonts w:ascii="Microsoft YaHei" w:hAnsi="Microsoft YaHei" w:eastAsia="Microsoft YaHei"/>
          <w:b w:val="0"/>
          <w:i w:val="0"/>
          <w:color w:val="24364B"/>
          <w:sz w:val="22"/>
        </w:rPr>
        <w:t>评价改性时应使用同批基线、相同碳含量、相同面容量和压实条件。若改性组同时粒径更小或电极更薄，性能差异不能归因于掺杂本身。</w:t>
      </w:r>
    </w:p>
    <w:p>
      <w:pPr>
        <w:spacing w:before="60" w:after="60"/>
        <w:jc w:val="center"/>
      </w:pPr>
      <m:oMathPara>
        <m:oMath>
          <m:r>
            <m:t>Effect = ȳ_treated − ȳ_control</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Effect 为处理效应估计，单位与响应相同；ȳ_treated 与 ȳ_control 分别为改性组和对照组均值。因子设计应控制粒径、碳含量、面容量、压实和批次。</w:t>
      </w:r>
    </w:p>
    <w:p>
      <w:pPr>
        <w:pStyle w:val="Heading1"/>
        <w:keepNext/>
        <w:keepLines/>
      </w:pPr>
      <w:r>
        <w:t>7 LMFP/LFP 复合的设计逻辑</w:t>
      </w:r>
    </w:p>
    <w:p>
      <w:pPr>
        <w:spacing w:after="120" w:line="300" w:lineRule="auto"/>
      </w:pPr>
      <w:r>
        <w:rPr>
          <w:rFonts w:ascii="Microsoft YaHei" w:hAnsi="Microsoft YaHei" w:eastAsia="Microsoft YaHei"/>
          <w:b w:val="0"/>
          <w:i w:val="0"/>
          <w:color w:val="24364B"/>
          <w:sz w:val="22"/>
        </w:rPr>
        <w:t>将 LMFP 与 LFP 物理混合可以在保持相近橄榄石加工基础的同时调整平均电压和成本。LFP 可提供更稳定的低电位容量，LMFP 提供高电位增益，但双平台比例会影响 SOC—电压曲线和 BMS 标定。</w:t>
      </w:r>
    </w:p>
    <w:p>
      <w:pPr>
        <w:spacing w:after="120" w:line="300" w:lineRule="auto"/>
      </w:pPr>
      <w:r>
        <w:rPr>
          <w:rFonts w:ascii="Microsoft YaHei" w:hAnsi="Microsoft YaHei" w:eastAsia="Microsoft YaHei"/>
          <w:b w:val="0"/>
          <w:i w:val="0"/>
          <w:color w:val="24364B"/>
          <w:sz w:val="22"/>
        </w:rPr>
        <w:t>物理混合的性能取决于颗粒尺度、表面碳、导电网络和空间均匀性。若两种材料在浆料中分散或沉降行为不同，卷长与横向组成可能漂移，导致局部反应分配不均。</w:t>
      </w:r>
    </w:p>
    <w:p>
      <w:pPr>
        <w:spacing w:after="120" w:line="300" w:lineRule="auto"/>
      </w:pPr>
      <w:r>
        <w:rPr>
          <w:rFonts w:ascii="Microsoft YaHei" w:hAnsi="Microsoft YaHei" w:eastAsia="Microsoft YaHei"/>
          <w:b w:val="0"/>
          <w:i w:val="0"/>
          <w:color w:val="24364B"/>
          <w:sz w:val="22"/>
        </w:rPr>
        <w:t>复合比例不能只按理论能量计算。应同时考虑高电位平台利用率、低温倍率、循环电压衰减、压实密度、化成和量产混合均匀性。</w:t>
      </w:r>
    </w:p>
    <w:p>
      <w:pPr>
        <w:spacing w:before="60" w:after="60"/>
        <w:jc w:val="center"/>
      </w:pPr>
      <m:oMathPara>
        <m:oMath>
          <m:r>
            <m:t>Q_mix = w₁Q₁ + w₂Q₂</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Q_mix 为理想质量加权比容量，单位 Ah·kg⁻¹；w₁、w₂ 为两种活性材料质量分数且和为 1；Q₁、Q₂ 为各自比容量。实际值还受平台窗口、极化和相互作用影响。</w:t>
      </w:r>
    </w:p>
    <w:p>
      <w:pPr>
        <w:pStyle w:val="Heading1"/>
        <w:keepNext/>
        <w:keepLines/>
      </w:pPr>
      <w:r>
        <w:t>8 LMFP/NMC 复合的机会与复杂性</w:t>
      </w:r>
    </w:p>
    <w:p>
      <w:pPr>
        <w:spacing w:after="120" w:line="300" w:lineRule="auto"/>
      </w:pPr>
      <w:r>
        <w:rPr>
          <w:rFonts w:ascii="Microsoft YaHei" w:hAnsi="Microsoft YaHei" w:eastAsia="Microsoft YaHei"/>
          <w:b w:val="0"/>
          <w:i w:val="0"/>
          <w:color w:val="24364B"/>
          <w:sz w:val="22"/>
        </w:rPr>
        <w:t>LMFP 与 NMC 复合可以利用 NMC 的较高容量和动力学，同时用 LMFP 调整成本、热行为和电压轮廓。公开研究已探索两者混合正极，但最优比例高度依赖电压窗口和应用目标。[4]</w:t>
      </w:r>
    </w:p>
    <w:p>
      <w:pPr>
        <w:spacing w:after="120" w:line="300" w:lineRule="auto"/>
      </w:pPr>
      <w:r>
        <w:rPr>
          <w:rFonts w:ascii="Microsoft YaHei" w:hAnsi="Microsoft YaHei" w:eastAsia="Microsoft YaHei"/>
          <w:b w:val="0"/>
          <w:i w:val="0"/>
          <w:color w:val="24364B"/>
          <w:sz w:val="22"/>
        </w:rPr>
        <w:t>两类材料的开路电压曲线、界面反应和颗粒密度不同。充放电过程中电流分配会随 SOC、温度和倍率变化，并非固定质量比例。局部电位差还可能改变某一组分的老化负担。</w:t>
      </w:r>
    </w:p>
    <w:p>
      <w:pPr>
        <w:spacing w:after="120" w:line="300" w:lineRule="auto"/>
      </w:pPr>
      <w:r>
        <w:rPr>
          <w:rFonts w:ascii="Microsoft YaHei" w:hAnsi="Microsoft YaHei" w:eastAsia="Microsoft YaHei"/>
          <w:b w:val="0"/>
          <w:i w:val="0"/>
          <w:color w:val="24364B"/>
          <w:sz w:val="22"/>
        </w:rPr>
        <w:t>复合方案必须检查不同材料是否共享合适的电解液、粘结剂、导电剂和化成窗口。单独优化过的两种材料混在一起，不一定得到两者优点的简单相加。</w:t>
      </w:r>
    </w:p>
    <w:p>
      <w:pPr>
        <w:pStyle w:val="Heading1"/>
        <w:keepNext/>
        <w:keepLines/>
      </w:pPr>
      <w:r>
        <w:t>9 从半电池跨越到石墨全电池</w:t>
      </w:r>
    </w:p>
    <w:p>
      <w:pPr>
        <w:spacing w:after="120" w:line="300" w:lineRule="auto"/>
      </w:pPr>
      <w:r>
        <w:rPr>
          <w:rFonts w:ascii="Microsoft YaHei" w:hAnsi="Microsoft YaHei" w:eastAsia="Microsoft YaHei"/>
          <w:b w:val="0"/>
          <w:i w:val="0"/>
          <w:color w:val="24364B"/>
          <w:sz w:val="22"/>
        </w:rPr>
        <w:t>半电池以金属锂作为对电极，能够方便研究正极容量和电位，但锂库存近似充足，也不会反映石墨负极 SEI、N/P 比和跨界面金属迁移的完整影响。</w:t>
      </w:r>
    </w:p>
    <w:p>
      <w:pPr>
        <w:spacing w:after="120" w:line="300" w:lineRule="auto"/>
      </w:pPr>
      <w:r>
        <w:rPr>
          <w:rFonts w:ascii="Microsoft YaHei" w:hAnsi="Microsoft YaHei" w:eastAsia="Microsoft YaHei"/>
          <w:b w:val="0"/>
          <w:i w:val="0"/>
          <w:color w:val="24364B"/>
          <w:sz w:val="22"/>
        </w:rPr>
        <w:t>LMFP 的锰溶解若在负极累积，会改变 SEI 和活性锂消耗。2026 年软包研究强调了 LMFP/石墨全电池中界面驱动的失效路径，说明全电芯验证是材料选择的必要步骤。[1]</w:t>
      </w:r>
    </w:p>
    <w:p>
      <w:pPr>
        <w:spacing w:after="120" w:line="300" w:lineRule="auto"/>
      </w:pPr>
      <w:r>
        <w:rPr>
          <w:rFonts w:ascii="Microsoft YaHei" w:hAnsi="Microsoft YaHei" w:eastAsia="Microsoft YaHei"/>
          <w:b w:val="0"/>
          <w:i w:val="0"/>
          <w:color w:val="24364B"/>
          <w:sz w:val="22"/>
        </w:rPr>
        <w:t>全电池评价应至少追踪库仑效率、容量保持、平均电压、DCIR/EIS、产气、正负极平衡和高温存储。只看初始容量可能错过缓慢电压衰减和交叉影响。</w:t>
      </w:r>
    </w:p>
    <w:p>
      <w:pPr>
        <w:spacing w:before="60" w:after="60"/>
        <w:jc w:val="center"/>
      </w:pPr>
      <m:oMathPara>
        <m:oMath>
          <m:r>
            <m:t>η_C = Q_discharge / Q_charge</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η_C 为库仑效率，无量纲；Q_discharge 和 Q_charge 分别为同一循环放电和充电容量，单位 Ah。长期微小偏离会累积为活性锂损失或副反应。</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1550"/>
        <w:gridCol w:w="2600"/>
        <w:gridCol w:w="3000"/>
        <w:gridCol w:w="2210"/>
      </w:tblGrid>
      <w:tr>
        <w:trPr>
          <w:tblHeader w:val="true"/>
        </w:trPr>
        <w:tc>
          <w:tcPr>
            <w:tcW w:type="dxa" w:w="1550"/>
            <w:shd w:fill="17365D"/>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FFFFFF"/>
                <w:sz w:val="19"/>
              </w:rPr>
              <w:t>判断层级</w:t>
            </w:r>
          </w:p>
        </w:tc>
        <w:tc>
          <w:tcPr>
            <w:tcW w:type="dxa" w:w="26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必须回答</w:t>
            </w:r>
          </w:p>
        </w:tc>
        <w:tc>
          <w:tcPr>
            <w:tcW w:type="dxa" w:w="30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最低证据</w:t>
            </w:r>
          </w:p>
        </w:tc>
        <w:tc>
          <w:tcPr>
            <w:tcW w:type="dxa" w:w="221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未满足时行动</w:t>
            </w:r>
          </w:p>
        </w:tc>
      </w:tr>
      <w:tr>
        <w:tc>
          <w:tcPr>
            <w:tcW w:type="dxa" w:w="15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现象</w:t>
            </w:r>
          </w:p>
        </w:tc>
        <w:tc>
          <w:tcPr>
            <w:tcW w:type="dxa" w:w="26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观察是否真实且可重复</w:t>
            </w:r>
          </w:p>
        </w:tc>
        <w:tc>
          <w:tcPr>
            <w:tcW w:type="dxa" w:w="30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校准样 重复测量 原始记录</w:t>
            </w:r>
          </w:p>
        </w:tc>
        <w:tc>
          <w:tcPr>
            <w:tcW w:type="dxa" w:w="22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冻结结论并复核测量</w:t>
            </w:r>
          </w:p>
        </w:tc>
      </w:tr>
      <w:tr>
        <w:tc>
          <w:tcPr>
            <w:tcW w:type="dxa" w:w="155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关联</w:t>
            </w:r>
          </w:p>
        </w:tc>
        <w:tc>
          <w:tcPr>
            <w:tcW w:type="dxa" w:w="26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异常与哪些谱系因素同现</w:t>
            </w:r>
          </w:p>
        </w:tc>
        <w:tc>
          <w:tcPr>
            <w:tcW w:type="dxa" w:w="30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分层数据 时间与空间映射</w:t>
            </w:r>
          </w:p>
        </w:tc>
        <w:tc>
          <w:tcPr>
            <w:tcW w:type="dxa" w:w="221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扩大采样并保留竞争假设</w:t>
            </w:r>
          </w:p>
        </w:tc>
      </w:tr>
      <w:tr>
        <w:tc>
          <w:tcPr>
            <w:tcW w:type="dxa" w:w="15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机理</w:t>
            </w:r>
          </w:p>
        </w:tc>
        <w:tc>
          <w:tcPr>
            <w:tcW w:type="dxa" w:w="26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该因素为何造成该结果</w:t>
            </w:r>
          </w:p>
        </w:tc>
        <w:tc>
          <w:tcPr>
            <w:tcW w:type="dxa" w:w="30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物理模型 多方法表征</w:t>
            </w:r>
          </w:p>
        </w:tc>
        <w:tc>
          <w:tcPr>
            <w:tcW w:type="dxa" w:w="22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设计能区分假设的试验</w:t>
            </w:r>
          </w:p>
        </w:tc>
      </w:tr>
      <w:tr>
        <w:tc>
          <w:tcPr>
            <w:tcW w:type="dxa" w:w="155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根因</w:t>
            </w:r>
          </w:p>
        </w:tc>
        <w:tc>
          <w:tcPr>
            <w:tcW w:type="dxa" w:w="26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改变因素能否消除或复现</w:t>
            </w:r>
          </w:p>
        </w:tc>
        <w:tc>
          <w:tcPr>
            <w:tcW w:type="dxa" w:w="30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对照 干预 反证 连续验证</w:t>
            </w:r>
          </w:p>
        </w:tc>
        <w:tc>
          <w:tcPr>
            <w:tcW w:type="dxa" w:w="221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不得关闭或缩小隔离</w:t>
            </w:r>
          </w:p>
        </w:tc>
      </w:tr>
      <w:tr>
        <w:tc>
          <w:tcPr>
            <w:tcW w:type="dxa" w:w="15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控制</w:t>
            </w:r>
          </w:p>
        </w:tc>
        <w:tc>
          <w:tcPr>
            <w:tcW w:type="dxa" w:w="26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如何防止再发生和逃逸</w:t>
            </w:r>
          </w:p>
        </w:tc>
        <w:tc>
          <w:tcPr>
            <w:tcW w:type="dxa" w:w="30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控制计划 检出能力 反应记录</w:t>
            </w:r>
          </w:p>
        </w:tc>
        <w:tc>
          <w:tcPr>
            <w:tcW w:type="dxa" w:w="22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保持加严控制并升级</w:t>
            </w:r>
          </w:p>
        </w:tc>
      </w:tr>
    </w:tbl>
    <w:p>
      <w:pPr>
        <w:spacing w:after="40"/>
      </w:pPr>
    </w:p>
    <w:p>
      <w:pPr>
        <w:pStyle w:val="Heading1"/>
        <w:keepNext/>
        <w:keepLines/>
      </w:pPr>
      <w:r>
        <w:t>10 LMFP 方案评审检查表</w:t>
      </w:r>
    </w:p>
    <w:p>
      <w:pPr>
        <w:spacing w:after="120" w:line="300" w:lineRule="auto"/>
      </w:pPr>
      <w:r>
        <w:rPr>
          <w:rFonts w:ascii="Microsoft YaHei" w:hAnsi="Microsoft YaHei" w:eastAsia="Microsoft YaHei"/>
          <w:b w:val="0"/>
          <w:i w:val="0"/>
          <w:color w:val="24364B"/>
          <w:sz w:val="22"/>
        </w:rPr>
        <w:t>评审 LMFP 或复合正极时，应将电压收益与电压衰减、动力学和跨界面失效放在同一验证计划中。</w:t>
      </w:r>
    </w:p>
    <w:p>
      <w:pPr>
        <w:spacing w:after="80" w:line="288" w:lineRule="auto"/>
        <w:numPr>
          <w:ilvl w:val="0"/>
          <w:numId w:val="22"/>
        </w:numPr>
      </w:pPr>
      <w:r>
        <w:rPr>
          <w:rFonts w:ascii="Microsoft YaHei" w:hAnsi="Microsoft YaHei" w:eastAsia="Microsoft YaHei"/>
          <w:b w:val="0"/>
          <w:i w:val="0"/>
          <w:color w:val="24364B"/>
          <w:sz w:val="21"/>
        </w:rPr>
        <w:t>报告实际 Fe/Mn 比、相纯度、缺陷、粒径、碳含量和压实密度，不以名义成分替代。</w:t>
      </w:r>
    </w:p>
    <w:p>
      <w:pPr>
        <w:spacing w:after="80" w:line="288" w:lineRule="auto"/>
        <w:numPr>
          <w:ilvl w:val="0"/>
          <w:numId w:val="22"/>
        </w:numPr>
      </w:pPr>
      <w:r>
        <w:rPr>
          <w:rFonts w:ascii="Microsoft YaHei" w:hAnsi="Microsoft YaHei" w:eastAsia="Microsoft YaHei"/>
          <w:b w:val="0"/>
          <w:i w:val="0"/>
          <w:color w:val="24364B"/>
          <w:sz w:val="21"/>
        </w:rPr>
        <w:t>分解 Fe 与 Mn 平台容量、极化和衰减，在目标温度与倍率下检查高电位平台利用率。</w:t>
      </w:r>
    </w:p>
    <w:p>
      <w:pPr>
        <w:spacing w:after="80" w:line="288" w:lineRule="auto"/>
        <w:numPr>
          <w:ilvl w:val="0"/>
          <w:numId w:val="22"/>
        </w:numPr>
      </w:pPr>
      <w:r>
        <w:rPr>
          <w:rFonts w:ascii="Microsoft YaHei" w:hAnsi="Microsoft YaHei" w:eastAsia="Microsoft YaHei"/>
          <w:b w:val="0"/>
          <w:i w:val="0"/>
          <w:color w:val="24364B"/>
          <w:sz w:val="21"/>
        </w:rPr>
        <w:t>通过正负极表征追踪锰溶解迁移、界面阻抗和活性锂损失，验证交叉影响。</w:t>
      </w:r>
    </w:p>
    <w:p>
      <w:pPr>
        <w:spacing w:after="80" w:line="288" w:lineRule="auto"/>
        <w:numPr>
          <w:ilvl w:val="0"/>
          <w:numId w:val="22"/>
        </w:numPr>
      </w:pPr>
      <w:r>
        <w:rPr>
          <w:rFonts w:ascii="Microsoft YaHei" w:hAnsi="Microsoft YaHei" w:eastAsia="Microsoft YaHei"/>
          <w:b w:val="0"/>
          <w:i w:val="0"/>
          <w:color w:val="24364B"/>
          <w:sz w:val="21"/>
        </w:rPr>
        <w:t>复合方案固定电极面容量、孔隙和总碳含量，用对照试验隔离比例与结构效应。</w:t>
      </w:r>
    </w:p>
    <w:p>
      <w:pPr>
        <w:spacing w:after="80" w:line="288" w:lineRule="auto"/>
        <w:numPr>
          <w:ilvl w:val="0"/>
          <w:numId w:val="22"/>
        </w:numPr>
      </w:pPr>
      <w:r>
        <w:rPr>
          <w:rFonts w:ascii="Microsoft YaHei" w:hAnsi="Microsoft YaHei" w:eastAsia="Microsoft YaHei"/>
          <w:b w:val="0"/>
          <w:i w:val="0"/>
          <w:color w:val="24364B"/>
          <w:sz w:val="21"/>
        </w:rPr>
        <w:t>将双平台 OCV、滞回和老化漂移纳入 SOC 估算、均衡与充电截止标定。</w:t>
      </w:r>
    </w:p>
    <w:p>
      <w:pPr>
        <w:pStyle w:val="Heading1"/>
        <w:keepNext/>
        <w:keepLines/>
      </w:pPr>
      <w:r>
        <w:t>11 典型故障场景 LMFP 高平台逐渐消失</w:t>
      </w:r>
    </w:p>
    <w:p>
      <w:pPr>
        <w:spacing w:after="120" w:line="300" w:lineRule="auto"/>
      </w:pPr>
      <w:r>
        <w:rPr>
          <w:rFonts w:ascii="Microsoft YaHei" w:hAnsi="Microsoft YaHei" w:eastAsia="Microsoft YaHei"/>
          <w:b w:val="0"/>
          <w:i w:val="0"/>
          <w:color w:val="24364B"/>
          <w:sz w:val="22"/>
        </w:rPr>
        <w:t>某 LMFP/石墨电芯前 50 圈容量保持尚可，但平均放电电压持续下降，高电位平台缩短，低温倍率也显著恶化。仅看额定容量会低估能量和功率损失。批次对比发现异常组颗粒碳层不均，且高温循环后负极表面锰信号更强。</w:t>
      </w:r>
    </w:p>
    <w:p>
      <w:pPr>
        <w:spacing w:after="120" w:line="300" w:lineRule="auto"/>
      </w:pPr>
      <w:r>
        <w:rPr>
          <w:rFonts w:ascii="Microsoft YaHei" w:hAnsi="Microsoft YaHei" w:eastAsia="Microsoft YaHei"/>
          <w:b w:val="0"/>
          <w:i w:val="0"/>
          <w:color w:val="24364B"/>
          <w:sz w:val="22"/>
        </w:rPr>
        <w:t>诊断需要区分高电位平台利用率下降、整体极化增长、锰溶解迁移和活性锂损失，并确认碳层和界面改性是否针对主导路径。</w:t>
      </w:r>
    </w:p>
    <w:p>
      <w:pPr>
        <w:spacing w:after="80" w:line="288" w:lineRule="auto"/>
        <w:numPr>
          <w:ilvl w:val="0"/>
          <w:numId w:val="23"/>
        </w:numPr>
      </w:pPr>
      <w:r>
        <w:rPr>
          <w:rFonts w:ascii="Microsoft YaHei" w:hAnsi="Microsoft YaHei" w:eastAsia="Microsoft YaHei"/>
          <w:b w:val="0"/>
          <w:i w:val="0"/>
          <w:color w:val="24364B"/>
          <w:sz w:val="21"/>
        </w:rPr>
        <w:t>统一温度、倍率和容量基准，分解 Fe/Mn 平台容量、平均电压和 dQ/dV 随循环的变化。</w:t>
      </w:r>
    </w:p>
    <w:p>
      <w:pPr>
        <w:spacing w:after="80" w:line="288" w:lineRule="auto"/>
        <w:numPr>
          <w:ilvl w:val="0"/>
          <w:numId w:val="23"/>
        </w:numPr>
      </w:pPr>
      <w:r>
        <w:rPr>
          <w:rFonts w:ascii="Microsoft YaHei" w:hAnsi="Microsoft YaHei" w:eastAsia="Microsoft YaHei"/>
          <w:b w:val="0"/>
          <w:i w:val="0"/>
          <w:color w:val="24364B"/>
          <w:sz w:val="21"/>
        </w:rPr>
        <w:t>按材料批次、碳含量、极片电阻、面容量、压实和化成通道建立样品谱系。</w:t>
      </w:r>
    </w:p>
    <w:p>
      <w:pPr>
        <w:spacing w:after="80" w:line="288" w:lineRule="auto"/>
        <w:numPr>
          <w:ilvl w:val="0"/>
          <w:numId w:val="23"/>
        </w:numPr>
      </w:pPr>
      <w:r>
        <w:rPr>
          <w:rFonts w:ascii="Microsoft YaHei" w:hAnsi="Microsoft YaHei" w:eastAsia="Microsoft YaHei"/>
          <w:b w:val="0"/>
          <w:i w:val="0"/>
          <w:color w:val="24364B"/>
          <w:sz w:val="21"/>
        </w:rPr>
        <w:t>结合 EIS、正极截面、表面化学及负极锰含量区分接触损失、界面膜和金属迁移。</w:t>
      </w:r>
    </w:p>
    <w:p>
      <w:pPr>
        <w:spacing w:after="80" w:line="288" w:lineRule="auto"/>
        <w:numPr>
          <w:ilvl w:val="0"/>
          <w:numId w:val="23"/>
        </w:numPr>
      </w:pPr>
      <w:r>
        <w:rPr>
          <w:rFonts w:ascii="Microsoft YaHei" w:hAnsi="Microsoft YaHei" w:eastAsia="Microsoft YaHei"/>
          <w:b w:val="0"/>
          <w:i w:val="0"/>
          <w:color w:val="24364B"/>
          <w:sz w:val="21"/>
        </w:rPr>
        <w:t>设置均匀碳包覆、界面包覆和不同 Fe/Mn 比的对照，保持电极结构与电解液一致。</w:t>
      </w:r>
    </w:p>
    <w:p>
      <w:pPr>
        <w:spacing w:after="80" w:line="288" w:lineRule="auto"/>
        <w:numPr>
          <w:ilvl w:val="0"/>
          <w:numId w:val="23"/>
        </w:numPr>
      </w:pPr>
      <w:r>
        <w:rPr>
          <w:rFonts w:ascii="Microsoft YaHei" w:hAnsi="Microsoft YaHei" w:eastAsia="Microsoft YaHei"/>
          <w:b w:val="0"/>
          <w:i w:val="0"/>
          <w:color w:val="24364B"/>
          <w:sz w:val="21"/>
        </w:rPr>
        <w:t>在目标温度和电压窗口连续验证容量、平均电压、功率和产气，并更新材料与极片放行标准。</w:t>
      </w:r>
    </w:p>
    <w:p>
      <w:pPr>
        <w:spacing w:after="120" w:line="300" w:lineRule="auto"/>
      </w:pPr>
      <w:r>
        <w:rPr>
          <w:rFonts w:ascii="Microsoft YaHei" w:hAnsi="Microsoft YaHei" w:eastAsia="Microsoft YaHei"/>
          <w:b w:val="0"/>
          <w:i w:val="0"/>
          <w:color w:val="24364B"/>
          <w:sz w:val="22"/>
        </w:rPr>
        <w:t>LMFP 的容量、平均电压和功率必须同时追踪；高平台衰减可能在额定容量明显下降前就暴露体系失效。</w:t>
      </w:r>
    </w:p>
    <w:p>
      <w:pPr>
        <w:pStyle w:val="Heading1"/>
        <w:keepNext/>
        <w:keepLines/>
      </w:pPr>
      <w:r>
        <w:t>12 常见误区与本期小结</w:t>
      </w:r>
    </w:p>
    <w:p>
      <w:pPr>
        <w:spacing w:after="120" w:line="300" w:lineRule="auto"/>
      </w:pPr>
      <w:r>
        <w:rPr>
          <w:rFonts w:ascii="Microsoft YaHei" w:hAnsi="Microsoft YaHei" w:eastAsia="Microsoft YaHei"/>
          <w:b/>
          <w:i w:val="0"/>
          <w:color w:val="17365D"/>
          <w:sz w:val="22"/>
        </w:rPr>
        <w:t xml:space="preserve">误区 1  </w:t>
      </w:r>
      <w:r>
        <w:rPr>
          <w:rFonts w:ascii="Microsoft YaHei" w:hAnsi="Microsoft YaHei" w:eastAsia="Microsoft YaHei"/>
          <w:b w:val="0"/>
          <w:i w:val="0"/>
          <w:color w:val="24364B"/>
          <w:sz w:val="22"/>
        </w:rPr>
        <w:t>Mn 比越高能量越高。高平台利用率、极化、杂相和电压衰减会改变实际收益。</w:t>
      </w:r>
    </w:p>
    <w:p>
      <w:pPr>
        <w:spacing w:after="120" w:line="300" w:lineRule="auto"/>
      </w:pPr>
      <w:r>
        <w:rPr>
          <w:rFonts w:ascii="Microsoft YaHei" w:hAnsi="Microsoft YaHei" w:eastAsia="Microsoft YaHei"/>
          <w:b/>
          <w:i w:val="0"/>
          <w:color w:val="17365D"/>
          <w:sz w:val="22"/>
        </w:rPr>
        <w:t xml:space="preserve">误区 2  </w:t>
      </w:r>
      <w:r>
        <w:rPr>
          <w:rFonts w:ascii="Microsoft YaHei" w:hAnsi="Microsoft YaHei" w:eastAsia="Microsoft YaHei"/>
          <w:b w:val="0"/>
          <w:i w:val="0"/>
          <w:color w:val="24364B"/>
          <w:sz w:val="22"/>
        </w:rPr>
        <w:t>LMFP 只是电压更高的 LFP。Mn3+ 应变、锰溶解和界面压力带来新的失效路径。</w:t>
      </w:r>
    </w:p>
    <w:p>
      <w:pPr>
        <w:spacing w:after="120" w:line="300" w:lineRule="auto"/>
      </w:pPr>
      <w:r>
        <w:rPr>
          <w:rFonts w:ascii="Microsoft YaHei" w:hAnsi="Microsoft YaHei" w:eastAsia="Microsoft YaHei"/>
          <w:b/>
          <w:i w:val="0"/>
          <w:color w:val="17365D"/>
          <w:sz w:val="22"/>
        </w:rPr>
        <w:t xml:space="preserve">误区 3  </w:t>
      </w:r>
      <w:r>
        <w:rPr>
          <w:rFonts w:ascii="Microsoft YaHei" w:hAnsi="Microsoft YaHei" w:eastAsia="Microsoft YaHei"/>
          <w:b w:val="0"/>
          <w:i w:val="0"/>
          <w:color w:val="24364B"/>
          <w:sz w:val="22"/>
        </w:rPr>
        <w:t>掺杂有效就可直接量产。还需验证容量、压实、成本、批次一致性和工艺窗口。</w:t>
      </w:r>
    </w:p>
    <w:p>
      <w:pPr>
        <w:spacing w:after="120" w:line="300" w:lineRule="auto"/>
      </w:pPr>
      <w:r>
        <w:rPr>
          <w:rFonts w:ascii="Microsoft YaHei" w:hAnsi="Microsoft YaHei" w:eastAsia="Microsoft YaHei"/>
          <w:b/>
          <w:i w:val="0"/>
          <w:color w:val="17365D"/>
          <w:sz w:val="22"/>
        </w:rPr>
        <w:t xml:space="preserve">误区 4  </w:t>
      </w:r>
      <w:r>
        <w:rPr>
          <w:rFonts w:ascii="Microsoft YaHei" w:hAnsi="Microsoft YaHei" w:eastAsia="Microsoft YaHei"/>
          <w:b w:val="0"/>
          <w:i w:val="0"/>
          <w:color w:val="24364B"/>
          <w:sz w:val="22"/>
        </w:rPr>
        <w:t>复合材料性能等于质量加权。电流分配、平台、界面和空间分布会产生非线性。</w:t>
      </w:r>
    </w:p>
    <w:p>
      <w:pPr>
        <w:spacing w:after="120" w:line="300" w:lineRule="auto"/>
      </w:pPr>
      <w:r>
        <w:rPr>
          <w:rFonts w:ascii="Microsoft YaHei" w:hAnsi="Microsoft YaHei" w:eastAsia="Microsoft YaHei"/>
          <w:b/>
          <w:i w:val="0"/>
          <w:color w:val="17365D"/>
          <w:sz w:val="22"/>
        </w:rPr>
        <w:t xml:space="preserve">误区 5  </w:t>
      </w:r>
      <w:r>
        <w:rPr>
          <w:rFonts w:ascii="Microsoft YaHei" w:hAnsi="Microsoft YaHei" w:eastAsia="Microsoft YaHei"/>
          <w:b w:val="0"/>
          <w:i w:val="0"/>
          <w:color w:val="24364B"/>
          <w:sz w:val="22"/>
        </w:rPr>
        <w:t>半电池循环稳定就能预测全电池。石墨负极和锰迁移会改变锂库存与界面。</w:t>
      </w:r>
    </w:p>
    <w:p>
      <w:pPr>
        <w:spacing w:after="120" w:line="300" w:lineRule="auto"/>
      </w:pPr>
      <w:r>
        <w:rPr>
          <w:rFonts w:ascii="Microsoft YaHei" w:hAnsi="Microsoft YaHei" w:eastAsia="Microsoft YaHei"/>
          <w:b/>
          <w:i w:val="0"/>
          <w:color w:val="17365D"/>
          <w:sz w:val="22"/>
        </w:rPr>
        <w:t xml:space="preserve">本期小结  </w:t>
      </w:r>
      <w:r>
        <w:rPr>
          <w:rFonts w:ascii="Microsoft YaHei" w:hAnsi="Microsoft YaHei" w:eastAsia="Microsoft YaHei"/>
          <w:b w:val="0"/>
          <w:i w:val="0"/>
          <w:color w:val="24364B"/>
          <w:sz w:val="22"/>
        </w:rPr>
        <w:t>LMFP 用 Mn 平台提高橄榄石体系的平均电压，也引入应变、动力学和交叉界面风险。材料改性与复合只有在统一电极和全电池条件下，才能判断净收益。</w:t>
      </w:r>
    </w:p>
    <w:p>
      <w:pPr>
        <w:pStyle w:val="Heading1"/>
        <w:keepNext/>
        <w:keepLines/>
      </w:pPr>
      <w:r>
        <w:t>13 思考题与简要答案</w:t>
      </w:r>
    </w:p>
    <w:p>
      <w:pPr>
        <w:keepNext/>
        <w:spacing w:before="100" w:after="60"/>
        <w:numPr>
          <w:ilvl w:val="0"/>
          <w:numId w:val="24"/>
        </w:numPr>
      </w:pPr>
      <w:r>
        <w:rPr>
          <w:rFonts w:ascii="Microsoft YaHei" w:hAnsi="Microsoft YaHei" w:eastAsia="Microsoft YaHei"/>
          <w:b/>
          <w:i w:val="0"/>
          <w:color w:val="17365D"/>
          <w:sz w:val="21"/>
        </w:rPr>
        <w:t>LMFP 为什么比 LFP 有更高平均电压？</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Mn2+/Mn3+ 反应平台高于 Fe2+/Fe3+ 平台，利用该容量会抬高平均电压。</w:t>
      </w:r>
    </w:p>
    <w:p>
      <w:pPr>
        <w:keepNext/>
        <w:spacing w:before="100" w:after="60"/>
        <w:numPr>
          <w:ilvl w:val="0"/>
          <w:numId w:val="24"/>
        </w:numPr>
      </w:pPr>
      <w:r>
        <w:rPr>
          <w:rFonts w:ascii="Microsoft YaHei" w:hAnsi="Microsoft YaHei" w:eastAsia="Microsoft YaHei"/>
          <w:b/>
          <w:i w:val="0"/>
          <w:color w:val="17365D"/>
          <w:sz w:val="21"/>
        </w:rPr>
        <w:t>Jahn–Teller 效应为何重要？</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Mn3+ 会引起局部八面体畸变，反复应变可促进裂纹和反应不均。</w:t>
      </w:r>
    </w:p>
    <w:p>
      <w:pPr>
        <w:keepNext/>
        <w:spacing w:before="100" w:after="60"/>
        <w:numPr>
          <w:ilvl w:val="0"/>
          <w:numId w:val="24"/>
        </w:numPr>
      </w:pPr>
      <w:r>
        <w:rPr>
          <w:rFonts w:ascii="Microsoft YaHei" w:hAnsi="Microsoft YaHei" w:eastAsia="Microsoft YaHei"/>
          <w:b/>
          <w:i w:val="0"/>
          <w:color w:val="17365D"/>
          <w:sz w:val="21"/>
        </w:rPr>
        <w:t>为什么要同时追踪平均电压和容量？</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高平台衰减会先降低能量，即使额定容量暂时仍保持。</w:t>
      </w:r>
    </w:p>
    <w:p>
      <w:pPr>
        <w:keepNext/>
        <w:spacing w:before="100" w:after="60"/>
        <w:numPr>
          <w:ilvl w:val="0"/>
          <w:numId w:val="24"/>
        </w:numPr>
      </w:pPr>
      <w:r>
        <w:rPr>
          <w:rFonts w:ascii="Microsoft YaHei" w:hAnsi="Microsoft YaHei" w:eastAsia="Microsoft YaHei"/>
          <w:b/>
          <w:i w:val="0"/>
          <w:color w:val="17365D"/>
          <w:sz w:val="21"/>
        </w:rPr>
        <w:t>复合比例为什么不是简单加权问题？</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两种材料的电位、极化和界面不同，工作电流分配随 SOC 与温度变化。</w:t>
      </w:r>
    </w:p>
    <w:p>
      <w:pPr>
        <w:keepNext/>
        <w:spacing w:before="100" w:after="60"/>
        <w:numPr>
          <w:ilvl w:val="0"/>
          <w:numId w:val="24"/>
        </w:numPr>
      </w:pPr>
      <w:r>
        <w:rPr>
          <w:rFonts w:ascii="Microsoft YaHei" w:hAnsi="Microsoft YaHei" w:eastAsia="Microsoft YaHei"/>
          <w:b/>
          <w:i w:val="0"/>
          <w:color w:val="17365D"/>
          <w:sz w:val="21"/>
        </w:rPr>
        <w:t>半电池不能显示哪类关键问题？</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石墨负极 SEI、有限锂库存、N/P 匹配及锰跨界面迁移等全电池效应。</w:t>
      </w:r>
    </w:p>
    <w:p>
      <w:pPr>
        <w:pStyle w:val="Heading1"/>
        <w:keepNext/>
        <w:keepLines/>
      </w:pPr>
      <w:r>
        <w:t>14 下一期预告</w:t>
      </w:r>
    </w:p>
    <w:p>
      <w:pPr>
        <w:spacing w:after="120" w:line="300" w:lineRule="auto"/>
      </w:pPr>
      <w:r>
        <w:rPr>
          <w:rFonts w:ascii="Microsoft YaHei" w:hAnsi="Microsoft YaHei" w:eastAsia="Microsoft YaHei"/>
          <w:b/>
          <w:i w:val="0"/>
          <w:color w:val="17365D"/>
          <w:sz w:val="22"/>
        </w:rPr>
        <w:t xml:space="preserve">第 14 期  </w:t>
      </w:r>
      <w:r>
        <w:rPr>
          <w:rFonts w:ascii="Microsoft YaHei" w:hAnsi="Microsoft YaHei" w:eastAsia="Microsoft YaHei"/>
          <w:b w:val="0"/>
          <w:i w:val="0"/>
          <w:color w:val="24364B"/>
          <w:sz w:val="22"/>
        </w:rPr>
        <w:t>电解液体系与添加剂工程  将从溶剂、锂盐、溶剂化、SEI/CEI 添加剂、高电压与低温配方理解电解液如何连接两极。</w:t>
      </w:r>
    </w:p>
    <w:p>
      <w:pPr>
        <w:pStyle w:val="Heading1"/>
        <w:keepNext/>
        <w:keepLines/>
      </w:pPr>
      <w:r>
        <w:t>附录 来源与延伸阅读</w:t>
      </w:r>
    </w:p>
    <w:p>
      <w:pPr>
        <w:spacing w:after="100" w:line="269" w:lineRule="auto"/>
        <w:ind w:left="259" w:hanging="259"/>
      </w:pPr>
      <w:r>
        <w:rPr>
          <w:rFonts w:ascii="Microsoft YaHei" w:hAnsi="Microsoft YaHei" w:eastAsia="Microsoft YaHei"/>
          <w:b w:val="0"/>
          <w:i w:val="0"/>
          <w:color w:val="24364B"/>
          <w:sz w:val="17"/>
        </w:rPr>
        <w:t>[1] Unraveling interphase-driven failure pathways in LiMn0.6Fe0.4PO4/graphite pouch cells. EES Batteries, 2026. https://pubs.rsc.org/en/content/articlehtml/2026/eb/d5eb00228a （访问日期：2026-09-13）。</w:t>
      </w:r>
    </w:p>
    <w:p>
      <w:pPr>
        <w:spacing w:after="100" w:line="269" w:lineRule="auto"/>
        <w:ind w:left="259" w:hanging="259"/>
      </w:pPr>
      <w:r>
        <w:rPr>
          <w:rFonts w:ascii="Microsoft YaHei" w:hAnsi="Microsoft YaHei" w:eastAsia="Microsoft YaHei"/>
          <w:b w:val="0"/>
          <w:i w:val="0"/>
          <w:color w:val="24364B"/>
          <w:sz w:val="17"/>
        </w:rPr>
        <w:t>[2] Fe/Mn ratio and precursor decomposition effects in lithium manganese iron phosphate. ACS Applied Energy Materials, 2025. https://pubs.acs.org/doi/10.1021/acsaem.5c01253 （访问日期：2026-09-13）。</w:t>
      </w:r>
    </w:p>
    <w:p>
      <w:pPr>
        <w:spacing w:after="100" w:line="269" w:lineRule="auto"/>
        <w:ind w:left="259" w:hanging="259"/>
      </w:pPr>
      <w:r>
        <w:rPr>
          <w:rFonts w:ascii="Microsoft YaHei" w:hAnsi="Microsoft YaHei" w:eastAsia="Microsoft YaHei"/>
          <w:b w:val="0"/>
          <w:i w:val="0"/>
          <w:color w:val="24364B"/>
          <w:sz w:val="17"/>
        </w:rPr>
        <w:t>[3] Enhanced cycling stability and suppressed voltage decay of Mn-rich LMFP through Zn-gradient doping. Journal of Materials Chemistry A, 2025. https://pubs.rsc.org/en/content/articlelanding/2025/ta/d5ta00706b （访问日期：2026-09-13）。</w:t>
      </w:r>
    </w:p>
    <w:p>
      <w:pPr>
        <w:spacing w:after="100" w:line="269" w:lineRule="auto"/>
        <w:ind w:left="259" w:hanging="259"/>
      </w:pPr>
      <w:r>
        <w:rPr>
          <w:rFonts w:ascii="Microsoft YaHei" w:hAnsi="Microsoft YaHei" w:eastAsia="Microsoft YaHei"/>
          <w:b w:val="0"/>
          <w:i w:val="0"/>
          <w:color w:val="24364B"/>
          <w:sz w:val="17"/>
        </w:rPr>
        <w:t>[4] Electrochemical performance of blended LMFP and NMC positive electrodes. Electrochemistry 91 (2023). https://www.jstage.jst.go.jp/article/electrochemistry/91/7/91_23-00033/_pdf （访问日期：2026-09-13）。</w:t>
      </w:r>
    </w:p>
    <w:p>
      <w:pPr>
        <w:spacing w:after="100" w:line="269" w:lineRule="auto"/>
        <w:ind w:left="259" w:hanging="259"/>
      </w:pPr>
      <w:r>
        <w:rPr>
          <w:rFonts w:ascii="Microsoft YaHei" w:hAnsi="Microsoft YaHei" w:eastAsia="Microsoft YaHei"/>
          <w:b w:val="0"/>
          <w:i w:val="0"/>
          <w:color w:val="24364B"/>
          <w:sz w:val="17"/>
        </w:rPr>
        <w:t>[5] Ammonia-free synthesis and electrochemical comparison of LiMnyFe1−yPO4 compositions. Sustainable Energy &amp; Fuels, 2024. https://pubs.rsc.org/en/content/articlepdf/2024/su/d4su00125g （访问日期：2026-09-13）。</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left"/>
      </w:tabs>
    </w:pPr>
    <w:r>
      <w:rPr>
        <w:rFonts w:ascii="Microsoft YaHei" w:hAnsi="Microsoft YaHei" w:eastAsia="Microsoft YaHei"/>
        <w:b w:val="0"/>
        <w:i w:val="0"/>
        <w:color w:val="667085"/>
        <w:sz w:val="17"/>
      </w:rPr>
      <w:t>生成日期：2026-09-13</w:t>
    </w:r>
    <w:r>
      <w:tab/>
    </w:r>
    <w:r>
      <w:rPr>
        <w:rFonts w:ascii="Microsoft YaHei" w:hAnsi="Microsoft YaHei" w:eastAsia="Microsoft YaHei"/>
        <w:b w:val="0"/>
        <w:i w:val="0"/>
        <w:color w:val="667085"/>
        <w:sz w:val="17"/>
      </w:rPr>
      <w:t xml:space="preserve">第 </w:t>
    </w:r>
    <w:r>
      <w:rPr>
        <w:rFonts w:ascii="Microsoft YaHei" w:hAnsi="Microsoft YaHei" w:eastAsia="Microsoft YaHei"/>
        <w:b w:val="0"/>
        <w:i w:val="0"/>
        <w:color w:val="667085"/>
        <w:sz w:val="17"/>
      </w:rPr>
      <w:fldChar w:fldCharType="begin"/>
      <w:instrText xml:space="preserve"> PAGE </w:instrText>
      <w:fldChar w:fldCharType="separate"/>
      <w:t>1</w:t>
      <w:fldChar w:fldCharType="end"/>
    </w:r>
    <w:r>
      <w:rPr>
        <w:rFonts w:ascii="Microsoft YaHei" w:hAnsi="Microsoft YaHei" w:eastAsia="Microsoft YaHei"/>
        <w:b w:val="0"/>
        <w:i w:val="0"/>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Microsoft YaHei" w:hAnsi="Microsoft YaHei" w:eastAsia="Microsoft YaHei"/>
        <w:b/>
        <w:i w:val="0"/>
        <w:color w:val="000000"/>
        <w:sz w:val="17"/>
      </w:rPr>
      <w:t>动力电池深度学习  |  第 13 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abstractNum w:abstractNumId="12">
    <w:nsid w:val="0000000C"/>
    <w:tmpl w:val="A5A5000C"/>
    <w:multiLevelType w:val="singleLevel"/>
    <w:lvl w:ilvl="0">
      <w:start w:val="1"/>
      <w:numFmt w:val="decimal"/>
      <w:lvlText w:val="%1."/>
      <w:suff w:val="tab"/>
      <w:pPr>
        <w:tabs>
          <w:tab w:val="num" w:pos="540"/>
        </w:tabs>
        <w:ind w:left="540" w:hanging="300"/>
      </w:pPr>
    </w:lvl>
  </w:abstractNum>
  <w:num w:numId="13">
    <w:abstractNumId w:val="12"/>
    <w:lvlOverride w:ilvl="0">
      <w:startOverride w:val="1"/>
    </w:lvlOverride>
  </w:num>
  <w:abstractNum w:abstractNumId="13">
    <w:nsid w:val="0000000D"/>
    <w:tmpl w:val="A5A5000D"/>
    <w:multiLevelType w:val="singleLevel"/>
    <w:lvl w:ilvl="0">
      <w:start w:val="1"/>
      <w:numFmt w:val="decimal"/>
      <w:lvlText w:val="%1."/>
      <w:suff w:val="tab"/>
      <w:pPr>
        <w:tabs>
          <w:tab w:val="num" w:pos="540"/>
        </w:tabs>
        <w:ind w:left="540" w:hanging="300"/>
      </w:pPr>
    </w:lvl>
  </w:abstractNum>
  <w:num w:numId="14">
    <w:abstractNumId w:val="13"/>
    <w:lvlOverride w:ilvl="0">
      <w:startOverride w:val="1"/>
    </w:lvlOverride>
  </w:num>
  <w:abstractNum w:abstractNumId="14">
    <w:nsid w:val="0000000E"/>
    <w:tmpl w:val="A5A5000E"/>
    <w:multiLevelType w:val="singleLevel"/>
    <w:lvl w:ilvl="0">
      <w:start w:val="1"/>
      <w:numFmt w:val="decimal"/>
      <w:lvlText w:val="%1."/>
      <w:suff w:val="tab"/>
      <w:pPr>
        <w:tabs>
          <w:tab w:val="num" w:pos="540"/>
        </w:tabs>
        <w:ind w:left="540" w:hanging="300"/>
      </w:pPr>
    </w:lvl>
  </w:abstractNum>
  <w:num w:numId="15">
    <w:abstractNumId w:val="14"/>
    <w:lvlOverride w:ilvl="0">
      <w:startOverride w:val="1"/>
    </w:lvlOverride>
  </w:num>
  <w:num w:numId="16">
    <w:abstractNumId w:val="12"/>
    <w:lvlOverride w:ilvl="0">
      <w:startOverride w:val="1"/>
    </w:lvlOverride>
  </w:num>
  <w:num w:numId="17">
    <w:abstractNumId w:val="13"/>
    <w:lvlOverride w:ilvl="0">
      <w:startOverride w:val="1"/>
    </w:lvlOverride>
  </w:num>
  <w:num w:numId="18">
    <w:abstractNumId w:val="13"/>
    <w:lvlOverride w:ilvl="0">
      <w:startOverride w:val="1"/>
    </w:lvlOverride>
  </w:num>
  <w:num w:numId="19">
    <w:abstractNumId w:val="14"/>
    <w:lvlOverride w:ilvl="0">
      <w:startOverride w:val="1"/>
    </w:lvlOverride>
  </w:num>
  <w:abstractNum w:abstractNumId="15">
    <w:nsid w:val="0000000F"/>
    <w:tmpl w:val="B6B6000F"/>
    <w:multiLevelType w:val="singleLevel"/>
    <w:lvl w:ilvl="0">
      <w:start w:val="1"/>
      <w:numFmt w:val="decimal"/>
      <w:lvlText w:val="%1."/>
      <w:suff w:val="tab"/>
      <w:pPr>
        <w:tabs>
          <w:tab w:val="num" w:pos="540"/>
        </w:tabs>
        <w:ind w:left="540" w:hanging="300"/>
      </w:pPr>
    </w:lvl>
  </w:abstractNum>
  <w:num w:numId="20">
    <w:abstractNumId w:val="15"/>
  </w:num>
  <w:num w:numId="21">
    <w:abstractNumId w:val="15"/>
    <w:lvlOverride w:ilvl="0">
      <w:startOverride w:val="1"/>
    </w:lvlOverride>
  </w:num>
  <w:num w:numId="22">
    <w:abstractNumId w:val="15"/>
    <w:lvlOverride w:ilvl="0">
      <w:startOverride w:val="1"/>
    </w:lvlOverride>
  </w:num>
  <w:num w:numId="23">
    <w:abstractNumId w:val="15"/>
    <w:lvlOverride w:ilvl="0">
      <w:startOverride w:val="1"/>
    </w:lvlOverride>
  </w:num>
  <w:num w:numId="24">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Microsoft YaHei" w:hAnsi="Microsoft YaHei"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jc w:val="center"/>
    </w:pPr>
    <w:rPr>
      <w:rFonts w:asciiTheme="majorHAnsi" w:eastAsiaTheme="majorEastAsia" w:hAnsiTheme="majorHAnsi" w:cstheme="majorBidi" w:ascii="Microsoft YaHei" w:hAnsi="Microsoft YaHei" w:eastAsia="Microsoft YaHe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锰铁锂 LMFP 与复合方案</dc:title>
  <dc:subject>动力电池深度学习第13期</dc:subject>
  <dc:creator>动力电池深度学习计划</dc:creator>
  <cp:keywords>动力电池, 锂离子电池, 制造质量, 工程学习</cp:keywords>
  <dc:description>generated by python-docx</dc:description>
  <cp:lastModifiedBy/>
  <cp:revision>1</cp:revision>
  <dcterms:created xsi:type="dcterms:W3CDTF">2013-12-23T23:15:00Z</dcterms:created>
  <dcterms:modified xsi:type="dcterms:W3CDTF">2013-12-23T23:15:00Z</dcterms:modified>
  <cp:category/>
</cp:coreProperties>
</file>