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600"/>
        <w:jc w:val="center"/>
      </w:pPr>
      <w:r>
        <w:rPr>
          <w:rFonts w:ascii="Microsoft YaHei" w:hAnsi="Microsoft YaHei" w:eastAsia="Microsoft YaHei"/>
          <w:b/>
          <w:i w:val="0"/>
          <w:color w:val="000000"/>
          <w:sz w:val="25"/>
        </w:rPr>
        <w:t>动力电池深度学习  60 天进阶课程</w:t>
      </w:r>
    </w:p>
    <w:p>
      <w:pPr>
        <w:pStyle w:val="Title"/>
        <w:jc w:val="center"/>
      </w:pPr>
      <w:r>
        <w:t>电解液体系与添加剂工程</w:t>
      </w:r>
    </w:p>
    <w:p>
      <w:pPr>
        <w:spacing w:after="560"/>
        <w:jc w:val="center"/>
      </w:pPr>
      <w:r>
        <w:rPr>
          <w:rFonts w:ascii="Microsoft YaHei" w:hAnsi="Microsoft YaHei" w:eastAsia="Microsoft YaHei"/>
          <w:b w:val="0"/>
          <w:i w:val="0"/>
          <w:color w:val="000000"/>
          <w:sz w:val="31"/>
        </w:rPr>
        <w:t>溶剂化  离子输运  SEI/CEI  配方验证</w:t>
      </w:r>
    </w:p>
    <w:p>
      <w:pPr>
        <w:spacing w:after="920"/>
        <w:jc w:val="center"/>
      </w:pPr>
      <w:r>
        <w:rPr>
          <w:rFonts w:ascii="Microsoft YaHei" w:hAnsi="Microsoft YaHei" w:eastAsia="Microsoft YaHei"/>
          <w:b/>
          <w:i w:val="0"/>
          <w:color w:val="667085"/>
          <w:sz w:val="23"/>
        </w:rPr>
        <w:t>第 14 期  |  2026-09-14  |  制造质量</w:t>
      </w:r>
    </w:p>
    <w:p>
      <w:pPr>
        <w:spacing w:after="120" w:line="300" w:lineRule="auto"/>
      </w:pPr>
      <w:r>
        <w:rPr>
          <w:rFonts w:ascii="Microsoft YaHei" w:hAnsi="Microsoft YaHei" w:eastAsia="Microsoft YaHei"/>
          <w:b/>
          <w:i w:val="0"/>
          <w:color w:val="17365D"/>
          <w:sz w:val="22"/>
        </w:rPr>
        <w:t xml:space="preserve">本期结论  </w:t>
      </w:r>
      <w:r>
        <w:rPr>
          <w:rFonts w:ascii="Microsoft YaHei" w:hAnsi="Microsoft YaHei" w:eastAsia="Microsoft YaHei"/>
          <w:b w:val="0"/>
          <w:i w:val="0"/>
          <w:color w:val="24364B"/>
          <w:sz w:val="22"/>
        </w:rPr>
        <w:t>电解液不是惰性导电介质，而是决定溶剂化、去溶剂化、SEI/CEI、温度窗口和安全响应的反应体系；添加剂只能在明确失效路径和全电芯验证下发挥净收益。</w:t>
      </w:r>
    </w:p>
    <w:p>
      <w:pPr>
        <w:spacing w:after="120" w:line="300" w:lineRule="auto" w:before="360"/>
      </w:pPr>
      <w:r>
        <w:rPr>
          <w:rFonts w:ascii="Microsoft YaHei" w:hAnsi="Microsoft YaHei" w:eastAsia="Microsoft YaHei"/>
          <w:b/>
          <w:i w:val="0"/>
          <w:color w:val="17365D"/>
          <w:sz w:val="20"/>
        </w:rPr>
        <w:t xml:space="preserve">阅读方法  </w:t>
      </w:r>
      <w:r>
        <w:rPr>
          <w:rFonts w:ascii="Microsoft YaHei" w:hAnsi="Microsoft YaHei" w:eastAsia="Microsoft YaHei"/>
          <w:b w:val="0"/>
          <w:i/>
          <w:color w:val="24364B"/>
          <w:sz w:val="20"/>
        </w:rPr>
        <w:t>先建立盐—溶剂—添加剂—杂质的配方框架，再理解离子输运与两极界面，随后把高电压、低温、快充、注液量和制造控制放进同一验证矩阵。</w:t>
      </w:r>
    </w:p>
    <w:p>
      <w:r>
        <w:br w:type="page"/>
      </w:r>
    </w:p>
    <w:p>
      <w:pPr>
        <w:pStyle w:val="Heading1"/>
        <w:keepNext/>
        <w:keepLines/>
      </w:pPr>
      <w:r>
        <w:t>1 本期学习目标</w:t>
      </w:r>
    </w:p>
    <w:p>
      <w:pPr>
        <w:spacing w:after="80" w:line="288" w:lineRule="auto"/>
        <w:numPr>
          <w:ilvl w:val="0"/>
          <w:numId w:val="21"/>
        </w:numPr>
      </w:pPr>
      <w:r>
        <w:rPr>
          <w:rFonts w:ascii="Microsoft YaHei" w:hAnsi="Microsoft YaHei" w:eastAsia="Microsoft YaHei"/>
          <w:b w:val="0"/>
          <w:i w:val="0"/>
          <w:color w:val="24364B"/>
          <w:sz w:val="21"/>
        </w:rPr>
        <w:t>解释锂盐、环状和链状碳酸酯、醚类与功能添加剂的分工。</w:t>
      </w:r>
    </w:p>
    <w:p>
      <w:pPr>
        <w:spacing w:after="80" w:line="288" w:lineRule="auto"/>
        <w:numPr>
          <w:ilvl w:val="0"/>
          <w:numId w:val="21"/>
        </w:numPr>
      </w:pPr>
      <w:r>
        <w:rPr>
          <w:rFonts w:ascii="Microsoft YaHei" w:hAnsi="Microsoft YaHei" w:eastAsia="Microsoft YaHei"/>
          <w:b w:val="0"/>
          <w:i w:val="0"/>
          <w:color w:val="24364B"/>
          <w:sz w:val="21"/>
        </w:rPr>
        <w:t>用电导率、粘度、迁移数、溶剂化与去溶剂化理解倍率和低温限制。</w:t>
      </w:r>
    </w:p>
    <w:p>
      <w:pPr>
        <w:spacing w:after="80" w:line="288" w:lineRule="auto"/>
        <w:numPr>
          <w:ilvl w:val="0"/>
          <w:numId w:val="21"/>
        </w:numPr>
      </w:pPr>
      <w:r>
        <w:rPr>
          <w:rFonts w:ascii="Microsoft YaHei" w:hAnsi="Microsoft YaHei" w:eastAsia="Microsoft YaHei"/>
          <w:b w:val="0"/>
          <w:i w:val="0"/>
          <w:color w:val="24364B"/>
          <w:sz w:val="21"/>
        </w:rPr>
        <w:t>区分负极 SEI 与正极 CEI 的形成条件、功能和失效模式。</w:t>
      </w:r>
    </w:p>
    <w:p>
      <w:pPr>
        <w:spacing w:after="80" w:line="288" w:lineRule="auto"/>
        <w:numPr>
          <w:ilvl w:val="0"/>
          <w:numId w:val="21"/>
        </w:numPr>
      </w:pPr>
      <w:r>
        <w:rPr>
          <w:rFonts w:ascii="Microsoft YaHei" w:hAnsi="Microsoft YaHei" w:eastAsia="Microsoft YaHei"/>
          <w:b w:val="0"/>
          <w:i w:val="0"/>
          <w:color w:val="24364B"/>
          <w:sz w:val="21"/>
        </w:rPr>
        <w:t>分析高电压、快充、低温和高温存储对配方窗口的不同要求。</w:t>
      </w:r>
    </w:p>
    <w:p>
      <w:pPr>
        <w:spacing w:after="80" w:line="288" w:lineRule="auto"/>
        <w:numPr>
          <w:ilvl w:val="0"/>
          <w:numId w:val="21"/>
        </w:numPr>
      </w:pPr>
      <w:r>
        <w:rPr>
          <w:rFonts w:ascii="Microsoft YaHei" w:hAnsi="Microsoft YaHei" w:eastAsia="Microsoft YaHei"/>
          <w:b w:val="0"/>
          <w:i w:val="0"/>
          <w:color w:val="24364B"/>
          <w:sz w:val="21"/>
        </w:rPr>
        <w:t>建立注液量、水分、酸度、纯度、化成与添加剂消耗的全电芯验证方法。</w:t>
      </w:r>
    </w:p>
    <w:p>
      <w:pPr>
        <w:pStyle w:val="Heading1"/>
        <w:keepNext/>
        <w:keepLines/>
      </w:pPr>
      <w:r>
        <w:t>2 建立系统视角</w:t>
      </w:r>
    </w:p>
    <w:p>
      <w:pPr>
        <w:spacing w:after="120" w:line="300" w:lineRule="auto"/>
      </w:pPr>
      <w:r>
        <w:rPr>
          <w:rFonts w:ascii="Microsoft YaHei" w:hAnsi="Microsoft YaHei" w:eastAsia="Microsoft YaHei"/>
          <w:b w:val="0"/>
          <w:i w:val="0"/>
          <w:color w:val="24364B"/>
          <w:sz w:val="22"/>
        </w:rPr>
        <w:t>典型液态锂离子电解液由锂盐、溶剂和少量添加剂组成。盐提供可迁移离子，溶剂解离并运输离子，添加剂则常通过优先还原或氧化形成界面膜、捕获有害物种或改变阻燃与润湿特性。各组分会相互作用，不能按单一物性独立优化。</w:t>
      </w:r>
    </w:p>
    <w:p>
      <w:pPr>
        <w:spacing w:after="120" w:line="300" w:lineRule="auto"/>
      </w:pPr>
      <w:r>
        <w:rPr>
          <w:rFonts w:ascii="Microsoft YaHei" w:hAnsi="Microsoft YaHei" w:eastAsia="Microsoft YaHei"/>
          <w:b w:val="0"/>
          <w:i w:val="0"/>
          <w:color w:val="24364B"/>
          <w:sz w:val="22"/>
        </w:rPr>
        <w:t>电解液必须同时满足互相冲突的目标：高离子电导和低粘度有利于功率，足够的溶剂化稳定和界面膜有利于寿命，高电压抗氧化与负极兼容又可能需要不同分子结构。配方设计本质上是多目标平衡。</w:t>
      </w:r>
    </w:p>
    <w:p>
      <w:pPr>
        <w:spacing w:after="120" w:line="300" w:lineRule="auto"/>
      </w:pPr>
      <w:r>
        <w:rPr>
          <w:rFonts w:ascii="Microsoft YaHei" w:hAnsi="Microsoft YaHei" w:eastAsia="Microsoft YaHei"/>
          <w:b w:val="0"/>
          <w:i w:val="0"/>
          <w:color w:val="24364B"/>
          <w:sz w:val="22"/>
        </w:rPr>
        <w:t>全电芯是添加剂筛选的关键。ORNL 的高电压 LNMO/石墨研究指出，正极锰溶解和负极 SEI 退化会共同消耗活性锂；特定含量的三乙基硼酸酯在该体系中形成了更有利的综合结果。[1] 该结论不能脱离化学体系和浓度照搬。</w:t>
      </w:r>
    </w:p>
    <w:p>
      <w:pPr>
        <w:keepNext/>
        <w:jc w:val="center"/>
      </w:pPr>
      <w:r>
        <w:drawing>
          <wp:inline xmlns:a="http://schemas.openxmlformats.org/drawingml/2006/main" xmlns:pic="http://schemas.openxmlformats.org/drawingml/2006/picture">
            <wp:extent cx="5806440" cy="2249995"/>
            <wp:docPr id="1" name="Picture 1" descr="电解液工程链条，依次连接配方组成、溶剂化、两极界面成膜、工作窗口和电芯结果。" title="动力电池制造质量链示意图"/>
            <wp:cNvGraphicFramePr>
              <a:graphicFrameLocks noChangeAspect="1"/>
            </wp:cNvGraphicFramePr>
            <a:graphic>
              <a:graphicData uri="http://schemas.openxmlformats.org/drawingml/2006/picture">
                <pic:pic>
                  <pic:nvPicPr>
                    <pic:cNvPr id="0" name="day14_chain.png"/>
                    <pic:cNvPicPr/>
                  </pic:nvPicPr>
                  <pic:blipFill>
                    <a:blip r:embed="rId13"/>
                    <a:stretch>
                      <a:fillRect/>
                    </a:stretch>
                  </pic:blipFill>
                  <pic:spPr>
                    <a:xfrm>
                      <a:off x="0" y="0"/>
                      <a:ext cx="5806440" cy="2249995"/>
                    </a:xfrm>
                    <a:prstGeom prst="rect"/>
                  </pic:spPr>
                </pic:pic>
              </a:graphicData>
            </a:graphic>
          </wp:inline>
        </w:drawing>
      </w:r>
    </w:p>
    <w:p>
      <w:pPr>
        <w:keepNext/>
        <w:spacing w:before="60" w:after="160"/>
        <w:jc w:val="center"/>
      </w:pPr>
      <w:r>
        <w:rPr>
          <w:rFonts w:ascii="Microsoft YaHei" w:hAnsi="Microsoft YaHei" w:eastAsia="Microsoft YaHei"/>
          <w:b w:val="0"/>
          <w:i/>
          <w:color w:val="667085"/>
          <w:sz w:val="18"/>
        </w:rPr>
        <w:t>图 1  电解液从体相到两极界面的作用链  本文绘制</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1500"/>
        <w:gridCol w:w="2550"/>
        <w:gridCol w:w="2650"/>
        <w:gridCol w:w="2660"/>
      </w:tblGrid>
      <w:tr>
        <w:trPr>
          <w:tblHeader w:val="true"/>
        </w:trPr>
        <w:tc>
          <w:tcPr>
            <w:tcW w:type="dxa" w:w="1500"/>
            <w:shd w:fill="17365D"/>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FFFFFF"/>
                <w:sz w:val="19"/>
              </w:rPr>
              <w:t>组分</w:t>
            </w:r>
          </w:p>
        </w:tc>
        <w:tc>
          <w:tcPr>
            <w:tcW w:type="dxa" w:w="255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主要作用</w:t>
            </w:r>
          </w:p>
        </w:tc>
        <w:tc>
          <w:tcPr>
            <w:tcW w:type="dxa" w:w="265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关键风险</w:t>
            </w:r>
          </w:p>
        </w:tc>
        <w:tc>
          <w:tcPr>
            <w:tcW w:type="dxa" w:w="266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工程表征</w:t>
            </w:r>
          </w:p>
        </w:tc>
      </w:tr>
      <w:tr>
        <w:tc>
          <w:tcPr>
            <w:tcW w:type="dxa" w:w="15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锂盐</w:t>
            </w:r>
          </w:p>
        </w:tc>
        <w:tc>
          <w:tcPr>
            <w:tcW w:type="dxa" w:w="25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提供载流离子并参与界面</w:t>
            </w:r>
          </w:p>
        </w:tc>
        <w:tc>
          <w:tcPr>
            <w:tcW w:type="dxa" w:w="26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水解 酸性物种 腐蚀</w:t>
            </w:r>
          </w:p>
        </w:tc>
        <w:tc>
          <w:tcPr>
            <w:tcW w:type="dxa" w:w="266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纯度 水分 电导 热稳定</w:t>
            </w:r>
          </w:p>
        </w:tc>
      </w:tr>
      <w:tr>
        <w:tc>
          <w:tcPr>
            <w:tcW w:type="dxa" w:w="150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高介电溶剂</w:t>
            </w:r>
          </w:p>
        </w:tc>
        <w:tc>
          <w:tcPr>
            <w:tcW w:type="dxa" w:w="255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促进盐解离</w:t>
            </w:r>
          </w:p>
        </w:tc>
        <w:tc>
          <w:tcPr>
            <w:tcW w:type="dxa" w:w="265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粘度高 共嵌或副反应</w:t>
            </w:r>
          </w:p>
        </w:tc>
        <w:tc>
          <w:tcPr>
            <w:tcW w:type="dxa" w:w="266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介电常数 粘度 凝点</w:t>
            </w:r>
          </w:p>
        </w:tc>
      </w:tr>
      <w:tr>
        <w:tc>
          <w:tcPr>
            <w:tcW w:type="dxa" w:w="15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低粘溶剂</w:t>
            </w:r>
          </w:p>
        </w:tc>
        <w:tc>
          <w:tcPr>
            <w:tcW w:type="dxa" w:w="25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改善浸润和低温输运</w:t>
            </w:r>
          </w:p>
        </w:tc>
        <w:tc>
          <w:tcPr>
            <w:tcW w:type="dxa" w:w="26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挥发 可燃 界面稳定不足</w:t>
            </w:r>
          </w:p>
        </w:tc>
        <w:tc>
          <w:tcPr>
            <w:tcW w:type="dxa" w:w="266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闪点 蒸气压 电导</w:t>
            </w:r>
          </w:p>
        </w:tc>
      </w:tr>
      <w:tr>
        <w:tc>
          <w:tcPr>
            <w:tcW w:type="dxa" w:w="150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成膜添加剂</w:t>
            </w:r>
          </w:p>
        </w:tc>
        <w:tc>
          <w:tcPr>
            <w:tcW w:type="dxa" w:w="255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优先分解形成 SEI/CEI</w:t>
            </w:r>
          </w:p>
        </w:tc>
        <w:tc>
          <w:tcPr>
            <w:tcW w:type="dxa" w:w="265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过量消耗 阻抗和产气</w:t>
            </w:r>
          </w:p>
        </w:tc>
        <w:tc>
          <w:tcPr>
            <w:tcW w:type="dxa" w:w="266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首效 EIS 表面化学</w:t>
            </w:r>
          </w:p>
        </w:tc>
      </w:tr>
      <w:tr>
        <w:tc>
          <w:tcPr>
            <w:tcW w:type="dxa" w:w="15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功能添加剂</w:t>
            </w:r>
          </w:p>
        </w:tc>
        <w:tc>
          <w:tcPr>
            <w:tcW w:type="dxa" w:w="25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抑酸 阻燃 过充或金属捕获</w:t>
            </w:r>
          </w:p>
        </w:tc>
        <w:tc>
          <w:tcPr>
            <w:tcW w:type="dxa" w:w="26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相容性和副产物</w:t>
            </w:r>
          </w:p>
        </w:tc>
        <w:tc>
          <w:tcPr>
            <w:tcW w:type="dxa" w:w="266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全电芯寿命 气体 安全</w:t>
            </w:r>
          </w:p>
        </w:tc>
      </w:tr>
    </w:tbl>
    <w:p>
      <w:pPr>
        <w:spacing w:after="40"/>
      </w:pPr>
    </w:p>
    <w:p>
      <w:pPr>
        <w:pStyle w:val="Heading1"/>
        <w:keepNext/>
        <w:keepLines/>
      </w:pPr>
      <w:r>
        <w:t>3 溶剂化结构决定离子以什么状态移动</w:t>
      </w:r>
    </w:p>
    <w:p>
      <w:pPr>
        <w:spacing w:after="120" w:line="300" w:lineRule="auto"/>
      </w:pPr>
      <w:r>
        <w:rPr>
          <w:rFonts w:ascii="Microsoft YaHei" w:hAnsi="Microsoft YaHei" w:eastAsia="Microsoft YaHei"/>
          <w:b w:val="0"/>
          <w:i w:val="0"/>
          <w:color w:val="24364B"/>
          <w:sz w:val="22"/>
        </w:rPr>
        <w:t>Li+ 在液体中并非裸离子，而是被溶剂和阴离子配位。自由溶剂、溶剂分离离子对、接触离子对和聚集体的比例随盐浓度、溶剂供电子能力与温度变化，并会影响电导和界面分解路径。</w:t>
      </w:r>
    </w:p>
    <w:p>
      <w:pPr>
        <w:spacing w:after="120" w:line="300" w:lineRule="auto"/>
      </w:pPr>
      <w:r>
        <w:rPr>
          <w:rFonts w:ascii="Microsoft YaHei" w:hAnsi="Microsoft YaHei" w:eastAsia="Microsoft YaHei"/>
          <w:b w:val="0"/>
          <w:i w:val="0"/>
          <w:color w:val="24364B"/>
          <w:sz w:val="22"/>
        </w:rPr>
        <w:t>高盐或局部高浓度电解液可以减少自由溶剂并增加阴离子参与溶剂化，使界面更可能形成阴离子衍生产物。但粘度、成本、润湿与低温性能也会变化，需要通过惰性稀释剂等策略平衡。</w:t>
      </w:r>
    </w:p>
    <w:p>
      <w:pPr>
        <w:spacing w:after="120" w:line="300" w:lineRule="auto"/>
      </w:pPr>
      <w:r>
        <w:rPr>
          <w:rFonts w:ascii="Microsoft YaHei" w:hAnsi="Microsoft YaHei" w:eastAsia="Microsoft YaHei"/>
          <w:b w:val="0"/>
          <w:i w:val="0"/>
          <w:color w:val="24364B"/>
          <w:sz w:val="22"/>
        </w:rPr>
        <w:t>去溶剂化发生在离子进入电极界面或孔道之前。PNNL 的低温研究表明，降低与 Li+ 结合较强的溶剂比例、降低去溶剂化能垒，可在其测试的石墨/NCA体系中改善低温容量。[2]</w:t>
      </w:r>
    </w:p>
    <w:p>
      <w:pPr>
        <w:spacing w:before="60" w:after="60"/>
        <w:jc w:val="center"/>
      </w:pPr>
      <m:oMathPara>
        <m:oMath>
          <m:r>
            <m:t>σ = Σ nᵢ qᵢ μᵢ</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σ 为离子电导率，单位 S·m⁻¹；nᵢ 为第 i 类载流子数密度，单位 m⁻³；qᵢ 为其电荷量，单位 C；μᵢ 为迁移率，单位 m²·V⁻¹·s⁻¹。离子关联会使有效载流子数低于盐的形式浓度。</w:t>
      </w:r>
    </w:p>
    <w:p>
      <w:pPr>
        <w:pStyle w:val="Heading1"/>
        <w:keepNext/>
        <w:keepLines/>
      </w:pPr>
      <w:r>
        <w:t>4 浓度、电导和迁移数不能相互替代</w:t>
      </w:r>
    </w:p>
    <w:p>
      <w:pPr>
        <w:spacing w:after="120" w:line="300" w:lineRule="auto"/>
      </w:pPr>
      <w:r>
        <w:rPr>
          <w:rFonts w:ascii="Microsoft YaHei" w:hAnsi="Microsoft YaHei" w:eastAsia="Microsoft YaHei"/>
          <w:b w:val="0"/>
          <w:i w:val="0"/>
          <w:color w:val="24364B"/>
          <w:sz w:val="22"/>
        </w:rPr>
        <w:t>增加盐浓度最初可能增加载流离子数量，但同时提高粘度并增强离子关联，因此电导率通常出现最大值而非单调上升。最高电导的配方也未必具有最稳定的界面。</w:t>
      </w:r>
    </w:p>
    <w:p>
      <w:pPr>
        <w:spacing w:after="120" w:line="300" w:lineRule="auto"/>
      </w:pPr>
      <w:r>
        <w:rPr>
          <w:rFonts w:ascii="Microsoft YaHei" w:hAnsi="Microsoft YaHei" w:eastAsia="Microsoft YaHei"/>
          <w:b w:val="0"/>
          <w:i w:val="0"/>
          <w:color w:val="24364B"/>
          <w:sz w:val="22"/>
        </w:rPr>
        <w:t>阳离子迁移数描述总电流中由 Li+ 承担的比例。较低迁移数会在大电流下产生更强浓度梯度；然而不同测量方法和非理想溶液假设会影响数值，跨文献比较要确认方法。</w:t>
      </w:r>
    </w:p>
    <w:p>
      <w:pPr>
        <w:spacing w:after="120" w:line="300" w:lineRule="auto"/>
      </w:pPr>
      <w:r>
        <w:rPr>
          <w:rFonts w:ascii="Microsoft YaHei" w:hAnsi="Microsoft YaHei" w:eastAsia="Microsoft YaHei"/>
          <w:b w:val="0"/>
          <w:i w:val="0"/>
          <w:color w:val="24364B"/>
          <w:sz w:val="22"/>
        </w:rPr>
        <w:t>电极孔隙中的有效电导还受到孔隙率、曲折度和浸润状态影响。体相电解液电导优良，并不能弥补干区、气泡或高曲折厚电极。</w:t>
      </w:r>
    </w:p>
    <w:p>
      <w:pPr>
        <w:spacing w:before="60" w:after="60"/>
        <w:jc w:val="center"/>
      </w:pPr>
      <m:oMathPara>
        <m:oMath>
          <m:r>
            <m:t>κ_eff = κ ε / τ</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κ_eff 为孔隙电解液有效电导率，单位 S·m⁻¹；κ 为体相电导率；ε 为孔隙率，无量纲；τ 为曲折度因子，无量纲。该式为常用简化关系。</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1700"/>
        <w:gridCol w:w="2400"/>
        <w:gridCol w:w="2700"/>
        <w:gridCol w:w="2560"/>
      </w:tblGrid>
      <w:tr>
        <w:trPr>
          <w:tblHeader w:val="true"/>
        </w:trPr>
        <w:tc>
          <w:tcPr>
            <w:tcW w:type="dxa" w:w="1700"/>
            <w:shd w:fill="17365D"/>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FFFFFF"/>
                <w:sz w:val="19"/>
              </w:rPr>
              <w:t>指标</w:t>
            </w:r>
          </w:p>
        </w:tc>
        <w:tc>
          <w:tcPr>
            <w:tcW w:type="dxa" w:w="24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回答问题</w:t>
            </w:r>
          </w:p>
        </w:tc>
        <w:tc>
          <w:tcPr>
            <w:tcW w:type="dxa" w:w="27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典型测量</w:t>
            </w:r>
          </w:p>
        </w:tc>
        <w:tc>
          <w:tcPr>
            <w:tcW w:type="dxa" w:w="256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局限</w:t>
            </w:r>
          </w:p>
        </w:tc>
      </w:tr>
      <w:tr>
        <w:tc>
          <w:tcPr>
            <w:tcW w:type="dxa" w:w="17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电导率</w:t>
            </w:r>
          </w:p>
        </w:tc>
        <w:tc>
          <w:tcPr>
            <w:tcW w:type="dxa" w:w="24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总体传导能力如何</w:t>
            </w:r>
          </w:p>
        </w:tc>
        <w:tc>
          <w:tcPr>
            <w:tcW w:type="dxa" w:w="27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阻抗电导池</w:t>
            </w:r>
          </w:p>
        </w:tc>
        <w:tc>
          <w:tcPr>
            <w:tcW w:type="dxa" w:w="256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不区分阳阴离子贡献</w:t>
            </w:r>
          </w:p>
        </w:tc>
      </w:tr>
      <w:tr>
        <w:tc>
          <w:tcPr>
            <w:tcW w:type="dxa" w:w="170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粘度</w:t>
            </w:r>
          </w:p>
        </w:tc>
        <w:tc>
          <w:tcPr>
            <w:tcW w:type="dxa" w:w="24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流动和温度敏感性如何</w:t>
            </w:r>
          </w:p>
        </w:tc>
        <w:tc>
          <w:tcPr>
            <w:tcW w:type="dxa" w:w="27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旋转或毛细粘度计</w:t>
            </w:r>
          </w:p>
        </w:tc>
        <w:tc>
          <w:tcPr>
            <w:tcW w:type="dxa" w:w="256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不能直接预测界面</w:t>
            </w:r>
          </w:p>
        </w:tc>
      </w:tr>
      <w:tr>
        <w:tc>
          <w:tcPr>
            <w:tcW w:type="dxa" w:w="17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迁移数</w:t>
            </w:r>
          </w:p>
        </w:tc>
        <w:tc>
          <w:tcPr>
            <w:tcW w:type="dxa" w:w="24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Li+ 承担多少电流</w:t>
            </w:r>
          </w:p>
        </w:tc>
        <w:tc>
          <w:tcPr>
            <w:tcW w:type="dxa" w:w="27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极化与阻抗组合</w:t>
            </w:r>
          </w:p>
        </w:tc>
        <w:tc>
          <w:tcPr>
            <w:tcW w:type="dxa" w:w="256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受模型与界面影响</w:t>
            </w:r>
          </w:p>
        </w:tc>
      </w:tr>
      <w:tr>
        <w:tc>
          <w:tcPr>
            <w:tcW w:type="dxa" w:w="170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去溶剂化</w:t>
            </w:r>
          </w:p>
        </w:tc>
        <w:tc>
          <w:tcPr>
            <w:tcW w:type="dxa" w:w="24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离子进入界面有多难</w:t>
            </w:r>
          </w:p>
        </w:tc>
        <w:tc>
          <w:tcPr>
            <w:tcW w:type="dxa" w:w="27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温度依赖 动力学与计算</w:t>
            </w:r>
          </w:p>
        </w:tc>
        <w:tc>
          <w:tcPr>
            <w:tcW w:type="dxa" w:w="256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与膜传输耦合</w:t>
            </w:r>
          </w:p>
        </w:tc>
      </w:tr>
      <w:tr>
        <w:tc>
          <w:tcPr>
            <w:tcW w:type="dxa" w:w="17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润湿</w:t>
            </w:r>
          </w:p>
        </w:tc>
        <w:tc>
          <w:tcPr>
            <w:tcW w:type="dxa" w:w="24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孔隙能否被有效占据</w:t>
            </w:r>
          </w:p>
        </w:tc>
        <w:tc>
          <w:tcPr>
            <w:tcW w:type="dxa" w:w="27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吸液 毛细 X-ray 或超声</w:t>
            </w:r>
          </w:p>
        </w:tc>
        <w:tc>
          <w:tcPr>
            <w:tcW w:type="dxa" w:w="256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受极片与装配共同影响</w:t>
            </w:r>
          </w:p>
        </w:tc>
      </w:tr>
    </w:tbl>
    <w:p>
      <w:pPr>
        <w:spacing w:after="40"/>
      </w:pPr>
    </w:p>
    <w:p>
      <w:pPr>
        <w:pStyle w:val="Heading1"/>
        <w:keepNext/>
        <w:keepLines/>
      </w:pPr>
      <w:r>
        <w:t>5 SEI 是负极可逆运行的必要条件</w:t>
      </w:r>
    </w:p>
    <w:p>
      <w:pPr>
        <w:spacing w:after="120" w:line="300" w:lineRule="auto"/>
      </w:pPr>
      <w:r>
        <w:rPr>
          <w:rFonts w:ascii="Microsoft YaHei" w:hAnsi="Microsoft YaHei" w:eastAsia="Microsoft YaHei"/>
          <w:b w:val="0"/>
          <w:i w:val="0"/>
          <w:color w:val="24364B"/>
          <w:sz w:val="22"/>
        </w:rPr>
        <w:t>石墨工作电位低于多数碳酸酯的热力学稳定窗口，电解液在首充中还原并形成 SEI。理想 SEI 电子绝缘、Li+ 可通过、机械稳定且能够抑制持续分解。</w:t>
      </w:r>
    </w:p>
    <w:p>
      <w:pPr>
        <w:spacing w:after="120" w:line="300" w:lineRule="auto"/>
      </w:pPr>
      <w:r>
        <w:rPr>
          <w:rFonts w:ascii="Microsoft YaHei" w:hAnsi="Microsoft YaHei" w:eastAsia="Microsoft YaHei"/>
          <w:b w:val="0"/>
          <w:i w:val="0"/>
          <w:color w:val="24364B"/>
          <w:sz w:val="22"/>
        </w:rPr>
        <w:t>SEI 不是一次形成后永远不变。颗粒膨胀、温度、快充析锂、杂质和高温存储会使膜破裂、再生和增厚，持续消耗活性锂与电解液并提高阻抗。</w:t>
      </w:r>
    </w:p>
    <w:p>
      <w:pPr>
        <w:spacing w:after="120" w:line="300" w:lineRule="auto"/>
      </w:pPr>
      <w:r>
        <w:rPr>
          <w:rFonts w:ascii="Microsoft YaHei" w:hAnsi="Microsoft YaHei" w:eastAsia="Microsoft YaHei"/>
          <w:b w:val="0"/>
          <w:i w:val="0"/>
          <w:color w:val="24364B"/>
          <w:sz w:val="22"/>
        </w:rPr>
        <w:t>添加剂可通过优先还原改变 SEI 组成，但添加量过高可能增加气体、首圈损失或膜阻抗。硅碳等体积变化较大的负极尤其要求膜具有化学和机械适应性。</w:t>
      </w:r>
    </w:p>
    <w:p>
      <w:pPr>
        <w:spacing w:before="60" w:after="60"/>
        <w:jc w:val="center"/>
      </w:pPr>
      <m:oMathPara>
        <m:oMath>
          <m:r>
            <m:t>Q_loss = Q_charge − Q_discharge</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Q_loss 为首圈或某循环不可逆容量损失，单位 Ah；Q_charge 与 Q_discharge 分别为充电和放电容量。该差值包含界面成膜及其他副反应，不等同于单一 SEI 反应。</w:t>
      </w:r>
    </w:p>
    <w:p>
      <w:pPr>
        <w:pStyle w:val="Heading1"/>
        <w:keepNext/>
        <w:keepLines/>
      </w:pPr>
      <w:r>
        <w:t>6 CEI 管理高电位氧化和金属交叉影响</w:t>
      </w:r>
    </w:p>
    <w:p>
      <w:pPr>
        <w:spacing w:after="120" w:line="300" w:lineRule="auto"/>
      </w:pPr>
      <w:r>
        <w:rPr>
          <w:rFonts w:ascii="Microsoft YaHei" w:hAnsi="Microsoft YaHei" w:eastAsia="Microsoft YaHei"/>
          <w:b w:val="0"/>
          <w:i w:val="0"/>
          <w:color w:val="24364B"/>
          <w:sz w:val="22"/>
        </w:rPr>
        <w:t>正极在高电位下会氧化电解液并形成 CEI。理想 CEI 应抑制进一步氧化和过渡金属溶解，同时维持 Li+ 传输。膜不均或持续生长会增加阻抗和局部反应不均。</w:t>
      </w:r>
    </w:p>
    <w:p>
      <w:pPr>
        <w:spacing w:after="120" w:line="300" w:lineRule="auto"/>
      </w:pPr>
      <w:r>
        <w:rPr>
          <w:rFonts w:ascii="Microsoft YaHei" w:hAnsi="Microsoft YaHei" w:eastAsia="Microsoft YaHei"/>
          <w:b w:val="0"/>
          <w:i w:val="0"/>
          <w:color w:val="24364B"/>
          <w:sz w:val="22"/>
        </w:rPr>
        <w:t>TMSPi 与结构相似的 TEPi 在 NMC532/石墨全电芯中的行为并不相同。ORNL 参与的研究把 TMSPi 的更低阻抗增长与正极表面富 P/O 膜及较少过渡金属到达负极联系起来。[3] 分子相似不等于功能相同。</w:t>
      </w:r>
    </w:p>
    <w:p>
      <w:pPr>
        <w:spacing w:after="120" w:line="300" w:lineRule="auto"/>
      </w:pPr>
      <w:r>
        <w:rPr>
          <w:rFonts w:ascii="Microsoft YaHei" w:hAnsi="Microsoft YaHei" w:eastAsia="Microsoft YaHei"/>
          <w:b w:val="0"/>
          <w:i w:val="0"/>
          <w:color w:val="24364B"/>
          <w:sz w:val="22"/>
        </w:rPr>
        <w:t>高电压添加剂若只在半电池中评价，可能遗漏负极锂库存损失和过渡金属对 SEI 的影响。配方验证应同时表征两极和气体。</w:t>
      </w:r>
    </w:p>
    <w:p>
      <w:pPr>
        <w:spacing w:before="60" w:after="60"/>
        <w:jc w:val="center"/>
      </w:pPr>
      <m:oMathPara>
        <m:oMath>
          <m:r>
            <m:t>η_C = Q_discharge / Q_charge</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η_C 为库仑效率，无量纲；Q_discharge 与 Q_charge 为同循环放电和充电容量，单位 Ah。长期微小偏离会累积为可观的锂库存和电解液损失。</w:t>
      </w:r>
    </w:p>
    <w:p>
      <w:pPr>
        <w:pStyle w:val="Heading1"/>
        <w:keepNext/>
        <w:keepLines/>
      </w:pPr>
      <w:r>
        <w:t>7 添加剂组合可能协同也可能互相消耗</w:t>
      </w:r>
    </w:p>
    <w:p>
      <w:pPr>
        <w:spacing w:after="120" w:line="300" w:lineRule="auto"/>
      </w:pPr>
      <w:r>
        <w:rPr>
          <w:rFonts w:ascii="Microsoft YaHei" w:hAnsi="Microsoft YaHei" w:eastAsia="Microsoft YaHei"/>
          <w:b w:val="0"/>
          <w:i w:val="0"/>
          <w:color w:val="24364B"/>
          <w:sz w:val="22"/>
        </w:rPr>
        <w:t>多添加剂配方常让不同分子承担负极成膜、正极保护、抑酸和高温稳定等功能。但它们可能竞争优先分解、改变溶剂化或在储存中发生反应，浓度和加料顺序都可能影响结果。</w:t>
      </w:r>
    </w:p>
    <w:p>
      <w:pPr>
        <w:spacing w:after="120" w:line="300" w:lineRule="auto"/>
      </w:pPr>
      <w:r>
        <w:rPr>
          <w:rFonts w:ascii="Microsoft YaHei" w:hAnsi="Microsoft YaHei" w:eastAsia="Microsoft YaHei"/>
          <w:b w:val="0"/>
          <w:i w:val="0"/>
          <w:color w:val="24364B"/>
          <w:sz w:val="22"/>
        </w:rPr>
        <w:t>ORNL 参与的 NMC532/石墨研究比较了 15 种添加剂组合，能量保持与功率保持之间相关性很弱，仅一个组合在其双指标下显著优于基线。[4] 这说明“更多添加剂”并不等于更好。</w:t>
      </w:r>
    </w:p>
    <w:p>
      <w:pPr>
        <w:spacing w:after="120" w:line="300" w:lineRule="auto"/>
      </w:pPr>
      <w:r>
        <w:rPr>
          <w:rFonts w:ascii="Microsoft YaHei" w:hAnsi="Microsoft YaHei" w:eastAsia="Microsoft YaHei"/>
          <w:b w:val="0"/>
          <w:i w:val="0"/>
          <w:color w:val="24364B"/>
          <w:sz w:val="22"/>
        </w:rPr>
        <w:t>筛选应预先定义多个响应：首效、容量、平均电压、DCIR/EIS、产气、存储、自放电和安全。若只按容量排名，可能把阻抗或气体代价带入量产。</w:t>
      </w:r>
    </w:p>
    <w:p>
      <w:pPr>
        <w:spacing w:before="60" w:after="60"/>
        <w:jc w:val="center"/>
      </w:pPr>
      <m:oMathPara>
        <m:oMath>
          <m:r>
            <m:t>F_net = w_E E_ret + w_P P_ret − w_G G</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F_net 为示意性综合评分；E_ret、P_ret 分别为归一化能量和功率保持；G 为归一化产气或风险指标；w 为预先规定的权重。评分不能替代单项安全门槛。</w:t>
      </w:r>
    </w:p>
    <w:p>
      <w:pPr>
        <w:pStyle w:val="Heading1"/>
        <w:keepNext/>
        <w:keepLines/>
      </w:pPr>
      <w:r>
        <w:t>8 低温与快充的配方目标并不完全相同</w:t>
      </w:r>
    </w:p>
    <w:p>
      <w:pPr>
        <w:spacing w:after="120" w:line="300" w:lineRule="auto"/>
      </w:pPr>
      <w:r>
        <w:rPr>
          <w:rFonts w:ascii="Microsoft YaHei" w:hAnsi="Microsoft YaHei" w:eastAsia="Microsoft YaHei"/>
          <w:b w:val="0"/>
          <w:i w:val="0"/>
          <w:color w:val="24364B"/>
          <w:sz w:val="22"/>
        </w:rPr>
        <w:t>低温需要低凝点、低粘度、足够电导和较低去溶剂化障碍，同时界面膜在低温仍要允许快速 Li+ 传输。降低 EC 或采用低熔点溶剂可能改善输运，却也会改变石墨成膜。</w:t>
      </w:r>
    </w:p>
    <w:p>
      <w:pPr>
        <w:spacing w:after="120" w:line="300" w:lineRule="auto"/>
      </w:pPr>
      <w:r>
        <w:rPr>
          <w:rFonts w:ascii="Microsoft YaHei" w:hAnsi="Microsoft YaHei" w:eastAsia="Microsoft YaHei"/>
          <w:b w:val="0"/>
          <w:i w:val="0"/>
          <w:color w:val="24364B"/>
          <w:sz w:val="22"/>
        </w:rPr>
        <w:t>PNNL 报告的宽温配方通过调整 EC、PC、EMC 与盐/添加剂组合，在其 NCA/石墨和 NMC/石墨测试中扩展了低温容量与高温循环表现。[5] 具体温度与保持率属于该配方和电芯，不应普遍化。</w:t>
      </w:r>
    </w:p>
    <w:p>
      <w:pPr>
        <w:spacing w:after="120" w:line="300" w:lineRule="auto"/>
      </w:pPr>
      <w:r>
        <w:rPr>
          <w:rFonts w:ascii="Microsoft YaHei" w:hAnsi="Microsoft YaHei" w:eastAsia="Microsoft YaHei"/>
          <w:b w:val="0"/>
          <w:i w:val="0"/>
          <w:color w:val="24364B"/>
          <w:sz w:val="22"/>
        </w:rPr>
        <w:t>快充还要求抑制负极析锂并稳定高电流下的两极界面。PNNL 2023 年研究通过控制盐、配位溶剂和非配位稀释剂的比例改善输运及界面，并在特定高能量电芯中展示 4C/5C 充电能力。[6] 工程采用必须复核热和寿命。</w:t>
      </w:r>
    </w:p>
    <w:p>
      <w:pPr>
        <w:spacing w:before="60" w:after="60"/>
        <w:jc w:val="center"/>
      </w:pPr>
      <m:oMathPara>
        <m:oMath>
          <m:r>
            <m:t>t_charge ≈ 1 / C_rate</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t_charge 为理想恒流充电时间，单位 h；C_rate 为倍率，单位 h⁻¹。实际充电含恒压阶段、限温和限压，不能仅用该近似承诺充电时间。</w:t>
      </w:r>
    </w:p>
    <w:p>
      <w:pPr>
        <w:pStyle w:val="Heading1"/>
        <w:keepNext/>
        <w:keepLines/>
      </w:pPr>
      <w:r>
        <w:t>9 注液量、润湿和制造纯度是配方的一部分</w:t>
      </w:r>
    </w:p>
    <w:p>
      <w:pPr>
        <w:spacing w:after="120" w:line="300" w:lineRule="auto"/>
      </w:pPr>
      <w:r>
        <w:rPr>
          <w:rFonts w:ascii="Microsoft YaHei" w:hAnsi="Microsoft YaHei" w:eastAsia="Microsoft YaHei"/>
          <w:b w:val="0"/>
          <w:i w:val="0"/>
          <w:color w:val="24364B"/>
          <w:sz w:val="22"/>
        </w:rPr>
        <w:t>电解液过少会造成孔隙未充分填充和局部离子通路不足，过多则增加质量、成本、潜在产气与游离液。ORNL 在特定硅石墨/NMC软包中发现，电解液体积与总孔隙体积的比例显著影响阻抗、循环和 SEI。[7] 该比例不能直接移植到其他结构。</w:t>
      </w:r>
    </w:p>
    <w:p>
      <w:pPr>
        <w:spacing w:after="120" w:line="300" w:lineRule="auto"/>
      </w:pPr>
      <w:r>
        <w:rPr>
          <w:rFonts w:ascii="Microsoft YaHei" w:hAnsi="Microsoft YaHei" w:eastAsia="Microsoft YaHei"/>
          <w:b w:val="0"/>
          <w:i w:val="0"/>
          <w:color w:val="24364B"/>
          <w:sz w:val="22"/>
        </w:rPr>
        <w:t>润湿取决于表面张力、粘度、孔径分布、压实、真空注液、静置与温度。称重合格不等于所有孔隙都被均匀占据，应将超声、X-ray、阻抗或拆解证据与工艺验证连接。</w:t>
      </w:r>
    </w:p>
    <w:p>
      <w:pPr>
        <w:spacing w:after="120" w:line="300" w:lineRule="auto"/>
      </w:pPr>
      <w:r>
        <w:rPr>
          <w:rFonts w:ascii="Microsoft YaHei" w:hAnsi="Microsoft YaHei" w:eastAsia="Microsoft YaHei"/>
          <w:b w:val="0"/>
          <w:i w:val="0"/>
          <w:color w:val="24364B"/>
          <w:sz w:val="22"/>
        </w:rPr>
        <w:t>LiPF6 对水分敏感，痕量水和酸性物种会引发腐蚀与界面问题。原料、混配、储罐、输送、注液环境和回收管路都需要水分、纯度、颗粒与金属污染控制。</w:t>
      </w:r>
    </w:p>
    <w:p>
      <w:pPr>
        <w:spacing w:before="60" w:after="60"/>
        <w:jc w:val="center"/>
      </w:pPr>
      <m:oMathPara>
        <m:oMath>
          <m:r>
            <m:t>F_E = V_electrolyte / V_pore</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F_E 为电解液体积因子，无量纲；V_electrolyte 为注入电解液体积；V_pore 为正极、负极、隔膜及可进入空隙的总孔隙体积。最佳值依赖电芯设计和润湿工艺。</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1550"/>
        <w:gridCol w:w="2600"/>
        <w:gridCol w:w="3000"/>
        <w:gridCol w:w="2210"/>
      </w:tblGrid>
      <w:tr>
        <w:trPr>
          <w:tblHeader w:val="true"/>
        </w:trPr>
        <w:tc>
          <w:tcPr>
            <w:tcW w:type="dxa" w:w="1550"/>
            <w:shd w:fill="17365D"/>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FFFFFF"/>
                <w:sz w:val="19"/>
              </w:rPr>
              <w:t>判断层级</w:t>
            </w:r>
          </w:p>
        </w:tc>
        <w:tc>
          <w:tcPr>
            <w:tcW w:type="dxa" w:w="26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必须回答</w:t>
            </w:r>
          </w:p>
        </w:tc>
        <w:tc>
          <w:tcPr>
            <w:tcW w:type="dxa" w:w="30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最低证据</w:t>
            </w:r>
          </w:p>
        </w:tc>
        <w:tc>
          <w:tcPr>
            <w:tcW w:type="dxa" w:w="221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未满足时行动</w:t>
            </w:r>
          </w:p>
        </w:tc>
      </w:tr>
      <w:tr>
        <w:tc>
          <w:tcPr>
            <w:tcW w:type="dxa" w:w="155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现象</w:t>
            </w:r>
          </w:p>
        </w:tc>
        <w:tc>
          <w:tcPr>
            <w:tcW w:type="dxa" w:w="26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观察是否真实且可重复</w:t>
            </w:r>
          </w:p>
        </w:tc>
        <w:tc>
          <w:tcPr>
            <w:tcW w:type="dxa" w:w="30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校准样 重复测量 原始记录</w:t>
            </w:r>
          </w:p>
        </w:tc>
        <w:tc>
          <w:tcPr>
            <w:tcW w:type="dxa" w:w="22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冻结结论并复核测量</w:t>
            </w:r>
          </w:p>
        </w:tc>
      </w:tr>
      <w:tr>
        <w:tc>
          <w:tcPr>
            <w:tcW w:type="dxa" w:w="155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关联</w:t>
            </w:r>
          </w:p>
        </w:tc>
        <w:tc>
          <w:tcPr>
            <w:tcW w:type="dxa" w:w="26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异常与哪些谱系因素同现</w:t>
            </w:r>
          </w:p>
        </w:tc>
        <w:tc>
          <w:tcPr>
            <w:tcW w:type="dxa" w:w="30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分层数据 时间与空间映射</w:t>
            </w:r>
          </w:p>
        </w:tc>
        <w:tc>
          <w:tcPr>
            <w:tcW w:type="dxa" w:w="221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扩大采样并保留竞争假设</w:t>
            </w:r>
          </w:p>
        </w:tc>
      </w:tr>
      <w:tr>
        <w:tc>
          <w:tcPr>
            <w:tcW w:type="dxa" w:w="155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机理</w:t>
            </w:r>
          </w:p>
        </w:tc>
        <w:tc>
          <w:tcPr>
            <w:tcW w:type="dxa" w:w="26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该因素为何造成该结果</w:t>
            </w:r>
          </w:p>
        </w:tc>
        <w:tc>
          <w:tcPr>
            <w:tcW w:type="dxa" w:w="30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物理模型 多方法表征</w:t>
            </w:r>
          </w:p>
        </w:tc>
        <w:tc>
          <w:tcPr>
            <w:tcW w:type="dxa" w:w="22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设计能区分假设的试验</w:t>
            </w:r>
          </w:p>
        </w:tc>
      </w:tr>
      <w:tr>
        <w:tc>
          <w:tcPr>
            <w:tcW w:type="dxa" w:w="155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根因</w:t>
            </w:r>
          </w:p>
        </w:tc>
        <w:tc>
          <w:tcPr>
            <w:tcW w:type="dxa" w:w="26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改变因素能否消除或复现</w:t>
            </w:r>
          </w:p>
        </w:tc>
        <w:tc>
          <w:tcPr>
            <w:tcW w:type="dxa" w:w="30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对照 干预 反证 连续验证</w:t>
            </w:r>
          </w:p>
        </w:tc>
        <w:tc>
          <w:tcPr>
            <w:tcW w:type="dxa" w:w="221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不得关闭或缩小隔离</w:t>
            </w:r>
          </w:p>
        </w:tc>
      </w:tr>
      <w:tr>
        <w:tc>
          <w:tcPr>
            <w:tcW w:type="dxa" w:w="155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控制</w:t>
            </w:r>
          </w:p>
        </w:tc>
        <w:tc>
          <w:tcPr>
            <w:tcW w:type="dxa" w:w="26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如何防止再发生和逃逸</w:t>
            </w:r>
          </w:p>
        </w:tc>
        <w:tc>
          <w:tcPr>
            <w:tcW w:type="dxa" w:w="30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控制计划 检出能力 反应记录</w:t>
            </w:r>
          </w:p>
        </w:tc>
        <w:tc>
          <w:tcPr>
            <w:tcW w:type="dxa" w:w="22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保持加严控制并升级</w:t>
            </w:r>
          </w:p>
        </w:tc>
      </w:tr>
    </w:tbl>
    <w:p>
      <w:pPr>
        <w:spacing w:after="40"/>
      </w:pPr>
    </w:p>
    <w:p>
      <w:pPr>
        <w:pStyle w:val="Heading1"/>
        <w:keepNext/>
        <w:keepLines/>
      </w:pPr>
      <w:r>
        <w:t>10 电解液配方验证检查表</w:t>
      </w:r>
    </w:p>
    <w:p>
      <w:pPr>
        <w:spacing w:after="120" w:line="300" w:lineRule="auto"/>
      </w:pPr>
      <w:r>
        <w:rPr>
          <w:rFonts w:ascii="Microsoft YaHei" w:hAnsi="Microsoft YaHei" w:eastAsia="Microsoft YaHei"/>
          <w:b w:val="0"/>
          <w:i w:val="0"/>
          <w:color w:val="24364B"/>
          <w:sz w:val="22"/>
        </w:rPr>
        <w:t>配方变更必须同时验证体相物性、两极界面、制造适配和目标工况，且保留批次与加料顺序的可追溯性。</w:t>
      </w:r>
    </w:p>
    <w:p>
      <w:pPr>
        <w:spacing w:after="80" w:line="288" w:lineRule="auto"/>
        <w:numPr>
          <w:ilvl w:val="0"/>
          <w:numId w:val="22"/>
        </w:numPr>
      </w:pPr>
      <w:r>
        <w:rPr>
          <w:rFonts w:ascii="Microsoft YaHei" w:hAnsi="Microsoft YaHei" w:eastAsia="Microsoft YaHei"/>
          <w:b w:val="0"/>
          <w:i w:val="0"/>
          <w:color w:val="24364B"/>
          <w:sz w:val="21"/>
        </w:rPr>
        <w:t>冻结盐、溶剂、添加剂的纯度、批号、浓度口径、加料顺序和储存条件。</w:t>
      </w:r>
    </w:p>
    <w:p>
      <w:pPr>
        <w:spacing w:after="80" w:line="288" w:lineRule="auto"/>
        <w:numPr>
          <w:ilvl w:val="0"/>
          <w:numId w:val="22"/>
        </w:numPr>
      </w:pPr>
      <w:r>
        <w:rPr>
          <w:rFonts w:ascii="Microsoft YaHei" w:hAnsi="Microsoft YaHei" w:eastAsia="Microsoft YaHei"/>
          <w:b w:val="0"/>
          <w:i w:val="0"/>
          <w:color w:val="24364B"/>
          <w:sz w:val="21"/>
        </w:rPr>
        <w:t>测量电导、粘度、凝点、热与电化学稳定，并在目标温度复核而非只测室温。</w:t>
      </w:r>
    </w:p>
    <w:p>
      <w:pPr>
        <w:spacing w:after="80" w:line="288" w:lineRule="auto"/>
        <w:numPr>
          <w:ilvl w:val="0"/>
          <w:numId w:val="22"/>
        </w:numPr>
      </w:pPr>
      <w:r>
        <w:rPr>
          <w:rFonts w:ascii="Microsoft YaHei" w:hAnsi="Microsoft YaHei" w:eastAsia="Microsoft YaHei"/>
          <w:b w:val="0"/>
          <w:i w:val="0"/>
          <w:color w:val="24364B"/>
          <w:sz w:val="21"/>
        </w:rPr>
        <w:t>在全电芯中联合表征 SEI、CEI、活性锂损失、金属迁移、阻抗和产气。</w:t>
      </w:r>
    </w:p>
    <w:p>
      <w:pPr>
        <w:spacing w:after="80" w:line="288" w:lineRule="auto"/>
        <w:numPr>
          <w:ilvl w:val="0"/>
          <w:numId w:val="22"/>
        </w:numPr>
      </w:pPr>
      <w:r>
        <w:rPr>
          <w:rFonts w:ascii="Microsoft YaHei" w:hAnsi="Microsoft YaHei" w:eastAsia="Microsoft YaHei"/>
          <w:b w:val="0"/>
          <w:i w:val="0"/>
          <w:color w:val="24364B"/>
          <w:sz w:val="21"/>
        </w:rPr>
        <w:t>将注液量、真空、静置、化成和老化纳入 DOE，验证极片厚度和孔隙变化的鲁棒性。</w:t>
      </w:r>
    </w:p>
    <w:p>
      <w:pPr>
        <w:spacing w:after="80" w:line="288" w:lineRule="auto"/>
        <w:numPr>
          <w:ilvl w:val="0"/>
          <w:numId w:val="22"/>
        </w:numPr>
      </w:pPr>
      <w:r>
        <w:rPr>
          <w:rFonts w:ascii="Microsoft YaHei" w:hAnsi="Microsoft YaHei" w:eastAsia="Microsoft YaHei"/>
          <w:b w:val="0"/>
          <w:i w:val="0"/>
          <w:color w:val="24364B"/>
          <w:sz w:val="21"/>
        </w:rPr>
        <w:t>用能量、功率、寿命、存储、安全和制造良率的多指标门槛决定放行。</w:t>
      </w:r>
    </w:p>
    <w:p>
      <w:pPr>
        <w:pStyle w:val="Heading1"/>
        <w:keepNext/>
        <w:keepLines/>
      </w:pPr>
      <w:r>
        <w:t>11 典型故障场景 高电压寿命改善但产气上升</w:t>
      </w:r>
    </w:p>
    <w:p>
      <w:pPr>
        <w:spacing w:after="120" w:line="300" w:lineRule="auto"/>
      </w:pPr>
      <w:r>
        <w:rPr>
          <w:rFonts w:ascii="Microsoft YaHei" w:hAnsi="Microsoft YaHei" w:eastAsia="Microsoft YaHei"/>
          <w:b w:val="0"/>
          <w:i w:val="0"/>
          <w:color w:val="24364B"/>
          <w:sz w:val="22"/>
        </w:rPr>
        <w:t>某高镍/石墨电芯加入正极成膜添加剂后，常温循环容量保持改善，但 45 ℃高 SOC 存储厚度增长加快。初步报告只展示容量曲线并宣称配方成功，未纳入气体、压力和负极表面分析。</w:t>
      </w:r>
    </w:p>
    <w:p>
      <w:pPr>
        <w:spacing w:after="120" w:line="300" w:lineRule="auto"/>
      </w:pPr>
      <w:r>
        <w:rPr>
          <w:rFonts w:ascii="Microsoft YaHei" w:hAnsi="Microsoft YaHei" w:eastAsia="Microsoft YaHei"/>
          <w:b w:val="0"/>
          <w:i w:val="0"/>
          <w:color w:val="24364B"/>
          <w:sz w:val="22"/>
        </w:rPr>
        <w:t>复核发现添加剂降低了部分正极氧化，却在当前化成和含水条件下产生额外气体；同时负极 SEI 阻抗增加。净收益需要通过配方—工艺交互重新判断。</w:t>
      </w:r>
    </w:p>
    <w:p>
      <w:pPr>
        <w:spacing w:after="80" w:line="288" w:lineRule="auto"/>
        <w:numPr>
          <w:ilvl w:val="0"/>
          <w:numId w:val="23"/>
        </w:numPr>
      </w:pPr>
      <w:r>
        <w:rPr>
          <w:rFonts w:ascii="Microsoft YaHei" w:hAnsi="Microsoft YaHei" w:eastAsia="Microsoft YaHei"/>
          <w:b w:val="0"/>
          <w:i w:val="0"/>
          <w:color w:val="24364B"/>
          <w:sz w:val="21"/>
        </w:rPr>
        <w:t>复核电解液浓度、水分、酸度、批次和加料顺序，排除混配与储存偏差。</w:t>
      </w:r>
    </w:p>
    <w:p>
      <w:pPr>
        <w:spacing w:after="80" w:line="288" w:lineRule="auto"/>
        <w:numPr>
          <w:ilvl w:val="0"/>
          <w:numId w:val="23"/>
        </w:numPr>
      </w:pPr>
      <w:r>
        <w:rPr>
          <w:rFonts w:ascii="Microsoft YaHei" w:hAnsi="Microsoft YaHei" w:eastAsia="Microsoft YaHei"/>
          <w:b w:val="0"/>
          <w:i w:val="0"/>
          <w:color w:val="24364B"/>
          <w:sz w:val="21"/>
        </w:rPr>
        <w:t>按添加剂浓度、化成温度、电流和存储 SOC 设置全因子或分部因子对照。</w:t>
      </w:r>
    </w:p>
    <w:p>
      <w:pPr>
        <w:spacing w:after="80" w:line="288" w:lineRule="auto"/>
        <w:numPr>
          <w:ilvl w:val="0"/>
          <w:numId w:val="23"/>
        </w:numPr>
      </w:pPr>
      <w:r>
        <w:rPr>
          <w:rFonts w:ascii="Microsoft YaHei" w:hAnsi="Microsoft YaHei" w:eastAsia="Microsoft YaHei"/>
          <w:b w:val="0"/>
          <w:i w:val="0"/>
          <w:color w:val="24364B"/>
          <w:sz w:val="21"/>
        </w:rPr>
        <w:t>联合测量容量、平均电压、DCIR/EIS、厚度、气体组成以及正负极界面化学。</w:t>
      </w:r>
    </w:p>
    <w:p>
      <w:pPr>
        <w:spacing w:after="80" w:line="288" w:lineRule="auto"/>
        <w:numPr>
          <w:ilvl w:val="0"/>
          <w:numId w:val="23"/>
        </w:numPr>
      </w:pPr>
      <w:r>
        <w:rPr>
          <w:rFonts w:ascii="Microsoft YaHei" w:hAnsi="Microsoft YaHei" w:eastAsia="Microsoft YaHei"/>
          <w:b w:val="0"/>
          <w:i w:val="0"/>
          <w:color w:val="24364B"/>
          <w:sz w:val="21"/>
        </w:rPr>
        <w:t>比较添加剂消耗和副产物，验证降低水分或调整化成能否保留寿命收益并抑制产气。</w:t>
      </w:r>
    </w:p>
    <w:p>
      <w:pPr>
        <w:spacing w:after="80" w:line="288" w:lineRule="auto"/>
        <w:numPr>
          <w:ilvl w:val="0"/>
          <w:numId w:val="23"/>
        </w:numPr>
      </w:pPr>
      <w:r>
        <w:rPr>
          <w:rFonts w:ascii="Microsoft YaHei" w:hAnsi="Microsoft YaHei" w:eastAsia="Microsoft YaHei"/>
          <w:b w:val="0"/>
          <w:i w:val="0"/>
          <w:color w:val="24364B"/>
          <w:sz w:val="21"/>
        </w:rPr>
        <w:t>以预定多指标门槛选择配方，更新注液与化成控制计划并做连续批验证。</w:t>
      </w:r>
    </w:p>
    <w:p>
      <w:pPr>
        <w:spacing w:after="120" w:line="300" w:lineRule="auto"/>
      </w:pPr>
      <w:r>
        <w:rPr>
          <w:rFonts w:ascii="Microsoft YaHei" w:hAnsi="Microsoft YaHei" w:eastAsia="Microsoft YaHei"/>
          <w:b w:val="0"/>
          <w:i w:val="0"/>
          <w:color w:val="24364B"/>
          <w:sz w:val="22"/>
        </w:rPr>
        <w:t>添加剂评价必须看全电芯净收益；一个指标改善不能抵消产气、安全或另一电极界面的新增风险。</w:t>
      </w:r>
    </w:p>
    <w:p>
      <w:pPr>
        <w:pStyle w:val="Heading1"/>
        <w:keepNext/>
        <w:keepLines/>
      </w:pPr>
      <w:r>
        <w:t>12 常见误区与本期小结</w:t>
      </w:r>
    </w:p>
    <w:p>
      <w:pPr>
        <w:spacing w:after="120" w:line="300" w:lineRule="auto"/>
      </w:pPr>
      <w:r>
        <w:rPr>
          <w:rFonts w:ascii="Microsoft YaHei" w:hAnsi="Microsoft YaHei" w:eastAsia="Microsoft YaHei"/>
          <w:b/>
          <w:i w:val="0"/>
          <w:color w:val="17365D"/>
          <w:sz w:val="22"/>
        </w:rPr>
        <w:t xml:space="preserve">误区 1  </w:t>
      </w:r>
      <w:r>
        <w:rPr>
          <w:rFonts w:ascii="Microsoft YaHei" w:hAnsi="Microsoft YaHei" w:eastAsia="Microsoft YaHei"/>
          <w:b w:val="0"/>
          <w:i w:val="0"/>
          <w:color w:val="24364B"/>
          <w:sz w:val="22"/>
        </w:rPr>
        <w:t>电导率最高就是最佳电解液。界面、温度、气体和安全可能给出不同排序。</w:t>
      </w:r>
    </w:p>
    <w:p>
      <w:pPr>
        <w:spacing w:after="120" w:line="300" w:lineRule="auto"/>
      </w:pPr>
      <w:r>
        <w:rPr>
          <w:rFonts w:ascii="Microsoft YaHei" w:hAnsi="Microsoft YaHei" w:eastAsia="Microsoft YaHei"/>
          <w:b/>
          <w:i w:val="0"/>
          <w:color w:val="17365D"/>
          <w:sz w:val="22"/>
        </w:rPr>
        <w:t xml:space="preserve">误区 2  </w:t>
      </w:r>
      <w:r>
        <w:rPr>
          <w:rFonts w:ascii="Microsoft YaHei" w:hAnsi="Microsoft YaHei" w:eastAsia="Microsoft YaHei"/>
          <w:b w:val="0"/>
          <w:i w:val="0"/>
          <w:color w:val="24364B"/>
          <w:sz w:val="22"/>
        </w:rPr>
        <w:t>添加剂越多功能越强。竞争分解和副产物可能使组合互相抵消。</w:t>
      </w:r>
    </w:p>
    <w:p>
      <w:pPr>
        <w:spacing w:after="120" w:line="300" w:lineRule="auto"/>
      </w:pPr>
      <w:r>
        <w:rPr>
          <w:rFonts w:ascii="Microsoft YaHei" w:hAnsi="Microsoft YaHei" w:eastAsia="Microsoft YaHei"/>
          <w:b/>
          <w:i w:val="0"/>
          <w:color w:val="17365D"/>
          <w:sz w:val="22"/>
        </w:rPr>
        <w:t xml:space="preserve">误区 3  </w:t>
      </w:r>
      <w:r>
        <w:rPr>
          <w:rFonts w:ascii="Microsoft YaHei" w:hAnsi="Microsoft YaHei" w:eastAsia="Microsoft YaHei"/>
          <w:b w:val="0"/>
          <w:i w:val="0"/>
          <w:color w:val="24364B"/>
          <w:sz w:val="22"/>
        </w:rPr>
        <w:t>半电池稳定可代表全电芯。有限锂库存和两极交叉影响会改变结论。</w:t>
      </w:r>
    </w:p>
    <w:p>
      <w:pPr>
        <w:spacing w:after="120" w:line="300" w:lineRule="auto"/>
      </w:pPr>
      <w:r>
        <w:rPr>
          <w:rFonts w:ascii="Microsoft YaHei" w:hAnsi="Microsoft YaHei" w:eastAsia="Microsoft YaHei"/>
          <w:b/>
          <w:i w:val="0"/>
          <w:color w:val="17365D"/>
          <w:sz w:val="22"/>
        </w:rPr>
        <w:t xml:space="preserve">误区 4  </w:t>
      </w:r>
      <w:r>
        <w:rPr>
          <w:rFonts w:ascii="Microsoft YaHei" w:hAnsi="Microsoft YaHei" w:eastAsia="Microsoft YaHei"/>
          <w:b w:val="0"/>
          <w:i w:val="0"/>
          <w:color w:val="24364B"/>
          <w:sz w:val="22"/>
        </w:rPr>
        <w:t>注液称重合格就说明润湿完成。孔隙占据与空间均匀性还受工艺和极片结构影响。</w:t>
      </w:r>
    </w:p>
    <w:p>
      <w:pPr>
        <w:spacing w:after="120" w:line="300" w:lineRule="auto"/>
      </w:pPr>
      <w:r>
        <w:rPr>
          <w:rFonts w:ascii="Microsoft YaHei" w:hAnsi="Microsoft YaHei" w:eastAsia="Microsoft YaHei"/>
          <w:b/>
          <w:i w:val="0"/>
          <w:color w:val="17365D"/>
          <w:sz w:val="22"/>
        </w:rPr>
        <w:t xml:space="preserve">误区 5  </w:t>
      </w:r>
      <w:r>
        <w:rPr>
          <w:rFonts w:ascii="Microsoft YaHei" w:hAnsi="Microsoft YaHei" w:eastAsia="Microsoft YaHei"/>
          <w:b w:val="0"/>
          <w:i w:val="0"/>
          <w:color w:val="24364B"/>
          <w:sz w:val="22"/>
        </w:rPr>
        <w:t>高电压稳定等于热安全。可燃性、产气、隔膜和滥用响应仍需独立验证。</w:t>
      </w:r>
    </w:p>
    <w:p>
      <w:pPr>
        <w:spacing w:after="120" w:line="300" w:lineRule="auto"/>
      </w:pPr>
      <w:r>
        <w:rPr>
          <w:rFonts w:ascii="Microsoft YaHei" w:hAnsi="Microsoft YaHei" w:eastAsia="Microsoft YaHei"/>
          <w:b/>
          <w:i w:val="0"/>
          <w:color w:val="17365D"/>
          <w:sz w:val="22"/>
        </w:rPr>
        <w:t xml:space="preserve">本期小结  </w:t>
      </w:r>
      <w:r>
        <w:rPr>
          <w:rFonts w:ascii="Microsoft YaHei" w:hAnsi="Microsoft YaHei" w:eastAsia="Microsoft YaHei"/>
          <w:b w:val="0"/>
          <w:i w:val="0"/>
          <w:color w:val="24364B"/>
          <w:sz w:val="22"/>
        </w:rPr>
        <w:t>电解液工程同时管理体相离子输运、两极界面与制造润湿。每个配方收益都必须在明确电芯化学、温度、电压、倍率和工艺窗口下验证。</w:t>
      </w:r>
    </w:p>
    <w:p>
      <w:pPr>
        <w:pStyle w:val="Heading1"/>
        <w:keepNext/>
        <w:keepLines/>
      </w:pPr>
      <w:r>
        <w:t>13 思考题与简要答案</w:t>
      </w:r>
    </w:p>
    <w:p>
      <w:pPr>
        <w:keepNext/>
        <w:spacing w:before="100" w:after="60"/>
        <w:numPr>
          <w:ilvl w:val="0"/>
          <w:numId w:val="24"/>
        </w:numPr>
      </w:pPr>
      <w:r>
        <w:rPr>
          <w:rFonts w:ascii="Microsoft YaHei" w:hAnsi="Microsoft YaHei" w:eastAsia="Microsoft YaHei"/>
          <w:b/>
          <w:i w:val="0"/>
          <w:color w:val="17365D"/>
          <w:sz w:val="21"/>
        </w:rPr>
        <w:t>为什么最高盐浓度不一定有最高电导？</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浓度增加也会提高粘度与离子关联，降低迁移率和有效载流子数量。</w:t>
      </w:r>
    </w:p>
    <w:p>
      <w:pPr>
        <w:keepNext/>
        <w:spacing w:before="100" w:after="60"/>
        <w:numPr>
          <w:ilvl w:val="0"/>
          <w:numId w:val="24"/>
        </w:numPr>
      </w:pPr>
      <w:r>
        <w:rPr>
          <w:rFonts w:ascii="Microsoft YaHei" w:hAnsi="Microsoft YaHei" w:eastAsia="Microsoft YaHei"/>
          <w:b/>
          <w:i w:val="0"/>
          <w:color w:val="17365D"/>
          <w:sz w:val="21"/>
        </w:rPr>
        <w:t>SEI 的核心功能是什么？</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电子绝缘而允许 Li+ 通过，从而抑制电解液持续还原并支持可逆嵌锂。</w:t>
      </w:r>
    </w:p>
    <w:p>
      <w:pPr>
        <w:keepNext/>
        <w:spacing w:before="100" w:after="60"/>
        <w:numPr>
          <w:ilvl w:val="0"/>
          <w:numId w:val="24"/>
        </w:numPr>
      </w:pPr>
      <w:r>
        <w:rPr>
          <w:rFonts w:ascii="Microsoft YaHei" w:hAnsi="Microsoft YaHei" w:eastAsia="Microsoft YaHei"/>
          <w:b/>
          <w:i w:val="0"/>
          <w:color w:val="17365D"/>
          <w:sz w:val="21"/>
        </w:rPr>
        <w:t>为何添加剂必须用全电芯筛选？</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它会同时影响正负极界面、活性锂库存和金属交叉迁移。</w:t>
      </w:r>
    </w:p>
    <w:p>
      <w:pPr>
        <w:keepNext/>
        <w:spacing w:before="100" w:after="60"/>
        <w:numPr>
          <w:ilvl w:val="0"/>
          <w:numId w:val="24"/>
        </w:numPr>
      </w:pPr>
      <w:r>
        <w:rPr>
          <w:rFonts w:ascii="Microsoft YaHei" w:hAnsi="Microsoft YaHei" w:eastAsia="Microsoft YaHei"/>
          <w:b/>
          <w:i w:val="0"/>
          <w:color w:val="17365D"/>
          <w:sz w:val="21"/>
        </w:rPr>
        <w:t>低温电解液为何关注去溶剂化？</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Li+ 进入界面前要脱去部分溶剂壳，低温下该能垒可能成为速率限制。</w:t>
      </w:r>
    </w:p>
    <w:p>
      <w:pPr>
        <w:keepNext/>
        <w:spacing w:before="100" w:after="60"/>
        <w:numPr>
          <w:ilvl w:val="0"/>
          <w:numId w:val="24"/>
        </w:numPr>
      </w:pPr>
      <w:r>
        <w:rPr>
          <w:rFonts w:ascii="Microsoft YaHei" w:hAnsi="Microsoft YaHei" w:eastAsia="Microsoft YaHei"/>
          <w:b/>
          <w:i w:val="0"/>
          <w:color w:val="17365D"/>
          <w:sz w:val="21"/>
        </w:rPr>
        <w:t>为什么注液量不能用固定倍数跨设计照搬？</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总孔隙、极片厚度、隔膜、壳体空隙和润湿工艺不同。</w:t>
      </w:r>
    </w:p>
    <w:p>
      <w:pPr>
        <w:pStyle w:val="Heading1"/>
        <w:keepNext/>
        <w:keepLines/>
      </w:pPr>
      <w:r>
        <w:t>14 下一期预告</w:t>
      </w:r>
    </w:p>
    <w:p>
      <w:pPr>
        <w:spacing w:after="120" w:line="300" w:lineRule="auto"/>
      </w:pPr>
      <w:r>
        <w:rPr>
          <w:rFonts w:ascii="Microsoft YaHei" w:hAnsi="Microsoft YaHei" w:eastAsia="Microsoft YaHei"/>
          <w:b/>
          <w:i w:val="0"/>
          <w:color w:val="17365D"/>
          <w:sz w:val="22"/>
        </w:rPr>
        <w:t xml:space="preserve">第 15 期  </w:t>
      </w:r>
      <w:r>
        <w:rPr>
          <w:rFonts w:ascii="Microsoft YaHei" w:hAnsi="Microsoft YaHei" w:eastAsia="Microsoft YaHei"/>
          <w:b w:val="0"/>
          <w:i w:val="0"/>
          <w:color w:val="24364B"/>
          <w:sz w:val="22"/>
        </w:rPr>
        <w:t>钠离子电池体系与关键材料  将从钠资源、层状氧化物/普鲁士蓝正极、硬碳负极、电解液和系统能量理解其机会与边界。</w:t>
      </w:r>
    </w:p>
    <w:p>
      <w:pPr>
        <w:pStyle w:val="Heading1"/>
        <w:keepNext/>
        <w:keepLines/>
      </w:pPr>
      <w:r>
        <w:t>附录 来源与延伸阅读</w:t>
      </w:r>
    </w:p>
    <w:p>
      <w:pPr>
        <w:spacing w:after="100" w:line="269" w:lineRule="auto"/>
        <w:ind w:left="259" w:hanging="259"/>
      </w:pPr>
      <w:r>
        <w:rPr>
          <w:rFonts w:ascii="Microsoft YaHei" w:hAnsi="Microsoft YaHei" w:eastAsia="Microsoft YaHei"/>
          <w:b w:val="0"/>
          <w:i w:val="0"/>
          <w:color w:val="24364B"/>
          <w:sz w:val="17"/>
        </w:rPr>
        <w:t>[1] Wang, T. et al. Impact of Triethyl Borate on the Performance of 5 V Spinel/Graphite Lithium-Ion Batteries. ORNL publication record, 2022. https://impact.ornl.gov/en/publications/impact-of-triethyl-borate-on-the-performance-of-5-v-spinelgraphit/ （访问日期：2026-09-15）。</w:t>
      </w:r>
    </w:p>
    <w:p>
      <w:pPr>
        <w:spacing w:after="100" w:line="269" w:lineRule="auto"/>
        <w:ind w:left="259" w:hanging="259"/>
      </w:pPr>
      <w:r>
        <w:rPr>
          <w:rFonts w:ascii="Microsoft YaHei" w:hAnsi="Microsoft YaHei" w:eastAsia="Microsoft YaHei"/>
          <w:b w:val="0"/>
          <w:i w:val="0"/>
          <w:color w:val="24364B"/>
          <w:sz w:val="17"/>
        </w:rPr>
        <w:t>[2] Li, Q. et al. Li+-Desolvation Dictating Lithium-Ion Battery's Low-Temperature Performances. ACS Applied Materials &amp; Interfaces 9 (2017) 42761–42768. https://www.pnnl.gov/publications/li-desolvation-dictating-lithium-ion-batterys-low-temperature-performances （访问日期：2026-09-15）。</w:t>
      </w:r>
    </w:p>
    <w:p>
      <w:pPr>
        <w:spacing w:after="100" w:line="269" w:lineRule="auto"/>
        <w:ind w:left="259" w:hanging="259"/>
      </w:pPr>
      <w:r>
        <w:rPr>
          <w:rFonts w:ascii="Microsoft YaHei" w:hAnsi="Microsoft YaHei" w:eastAsia="Microsoft YaHei"/>
          <w:b w:val="0"/>
          <w:i w:val="0"/>
          <w:color w:val="24364B"/>
          <w:sz w:val="17"/>
        </w:rPr>
        <w:t>[3] Peebles, C. et al. TMSPi and TEPi as electrolyte additives for NMC532/graphite full cells. Journal of The Electrochemical Society 164 (2017). https://impact.ornl.gov/en/publications/tristrimethylsilyl-phosphite-tmspi-and-triethyl-phosphite-tepi-as/ （访问日期：2026-09-15）。</w:t>
      </w:r>
    </w:p>
    <w:p>
      <w:pPr>
        <w:spacing w:after="100" w:line="269" w:lineRule="auto"/>
        <w:ind w:left="259" w:hanging="259"/>
      </w:pPr>
      <w:r>
        <w:rPr>
          <w:rFonts w:ascii="Microsoft YaHei" w:hAnsi="Microsoft YaHei" w:eastAsia="Microsoft YaHei"/>
          <w:b w:val="0"/>
          <w:i w:val="0"/>
          <w:color w:val="24364B"/>
          <w:sz w:val="17"/>
        </w:rPr>
        <w:t>[4] Tornheim, A. et al. Evaluating electrolyte additives for lithium-ion cells: A new Figure of Merit approach. Journal of Power Sources 365 (2017) 201–209. https://impact.ornl.gov/en/publications/evaluating-electrolyte-additives-for-lithium-ion-cells-a-new-figu/ （访问日期：2026-09-15）。</w:t>
      </w:r>
    </w:p>
    <w:p>
      <w:pPr>
        <w:spacing w:after="100" w:line="269" w:lineRule="auto"/>
        <w:ind w:left="259" w:hanging="259"/>
      </w:pPr>
      <w:r>
        <w:rPr>
          <w:rFonts w:ascii="Microsoft YaHei" w:hAnsi="Microsoft YaHei" w:eastAsia="Microsoft YaHei"/>
          <w:b w:val="0"/>
          <w:i w:val="0"/>
          <w:color w:val="24364B"/>
          <w:sz w:val="17"/>
        </w:rPr>
        <w:t>[5] Li, Q. et al. Wide temperature electrolytes for lithium-ion batteries. ACS Applied Materials &amp; Interfaces 9 (2017) 18826–18835. https://www.pnnl.gov/publications/wide-temperature-electrolytes-lithium-ion-batteries （访问日期：2026-09-15）。</w:t>
      </w:r>
    </w:p>
    <w:p>
      <w:pPr>
        <w:spacing w:after="100" w:line="269" w:lineRule="auto"/>
        <w:ind w:left="259" w:hanging="259"/>
      </w:pPr>
      <w:r>
        <w:rPr>
          <w:rFonts w:ascii="Microsoft YaHei" w:hAnsi="Microsoft YaHei" w:eastAsia="Microsoft YaHei"/>
          <w:b w:val="0"/>
          <w:i w:val="0"/>
          <w:color w:val="24364B"/>
          <w:sz w:val="17"/>
        </w:rPr>
        <w:t>[6] Kautz, D. J. et al. Designing Electrolytes With Controlled Solvation Structure for Fast-Charging Lithium-Ion Batteries. Advanced Energy Materials 13 (2023) 2301199. https://www.pnnl.gov/publications/designing-electrolytes-controlled-solvation-structure-fast-charging-lithium-ion （访问日期：2026-09-15）。</w:t>
      </w:r>
    </w:p>
    <w:p>
      <w:pPr>
        <w:spacing w:after="100" w:line="269" w:lineRule="auto"/>
        <w:ind w:left="259" w:hanging="259"/>
      </w:pPr>
      <w:r>
        <w:rPr>
          <w:rFonts w:ascii="Microsoft YaHei" w:hAnsi="Microsoft YaHei" w:eastAsia="Microsoft YaHei"/>
          <w:b w:val="0"/>
          <w:i w:val="0"/>
          <w:color w:val="24364B"/>
          <w:sz w:val="17"/>
        </w:rPr>
        <w:t>[7] An, S. J. et al. Electrolyte Volume Effects on Electrochemical Performance and SEI in Si-Graphite/NMC Pouch Cells. ACS Applied Materials &amp; Interfaces 9 (2017) 18799–18808. https://www.ornl.gov/publication/electrolyte-volume-effects-electrochemical-performance-and-solid-electrolyte-interphase （访问日期：2026-09-15）。</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left"/>
      </w:tabs>
    </w:pPr>
    <w:r>
      <w:rPr>
        <w:rFonts w:ascii="Microsoft YaHei" w:hAnsi="Microsoft YaHei" w:eastAsia="Microsoft YaHei"/>
        <w:b w:val="0"/>
        <w:i w:val="0"/>
        <w:color w:val="667085"/>
        <w:sz w:val="17"/>
      </w:rPr>
      <w:t>生成日期：2026-09-14</w:t>
    </w:r>
    <w:r>
      <w:tab/>
    </w:r>
    <w:r>
      <w:rPr>
        <w:rFonts w:ascii="Microsoft YaHei" w:hAnsi="Microsoft YaHei" w:eastAsia="Microsoft YaHei"/>
        <w:b w:val="0"/>
        <w:i w:val="0"/>
        <w:color w:val="667085"/>
        <w:sz w:val="17"/>
      </w:rPr>
      <w:t xml:space="preserve">第 </w:t>
    </w:r>
    <w:r>
      <w:rPr>
        <w:rFonts w:ascii="Microsoft YaHei" w:hAnsi="Microsoft YaHei" w:eastAsia="Microsoft YaHei"/>
        <w:b w:val="0"/>
        <w:i w:val="0"/>
        <w:color w:val="667085"/>
        <w:sz w:val="17"/>
      </w:rPr>
      <w:fldChar w:fldCharType="begin"/>
      <w:instrText xml:space="preserve"> PAGE </w:instrText>
      <w:fldChar w:fldCharType="separate"/>
      <w:t>1</w:t>
      <w:fldChar w:fldCharType="end"/>
    </w:r>
    <w:r>
      <w:rPr>
        <w:rFonts w:ascii="Microsoft YaHei" w:hAnsi="Microsoft YaHei" w:eastAsia="Microsoft YaHei"/>
        <w:b w:val="0"/>
        <w:i w:val="0"/>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Microsoft YaHei" w:hAnsi="Microsoft YaHei" w:eastAsia="Microsoft YaHei"/>
        <w:b/>
        <w:i w:val="0"/>
        <w:color w:val="000000"/>
        <w:sz w:val="17"/>
      </w:rPr>
      <w:t>动力电池深度学习  |  第 14 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spacing w:after="80" w:line="300" w:lineRule="auto"/>
      </w:p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abstractNum w:abstractNumId="12">
    <w:nsid w:val="0000000C"/>
    <w:tmpl w:val="A5A5000C"/>
    <w:multiLevelType w:val="singleLevel"/>
    <w:lvl w:ilvl="0">
      <w:start w:val="1"/>
      <w:numFmt w:val="decimal"/>
      <w:lvlText w:val="%1."/>
      <w:suff w:val="tab"/>
      <w:pPr>
        <w:tabs>
          <w:tab w:val="num" w:pos="540"/>
        </w:tabs>
        <w:ind w:left="540" w:hanging="300"/>
      </w:pPr>
    </w:lvl>
  </w:abstractNum>
  <w:num w:numId="13">
    <w:abstractNumId w:val="12"/>
    <w:lvlOverride w:ilvl="0">
      <w:startOverride w:val="1"/>
    </w:lvlOverride>
  </w:num>
  <w:abstractNum w:abstractNumId="13">
    <w:nsid w:val="0000000D"/>
    <w:tmpl w:val="A5A5000D"/>
    <w:multiLevelType w:val="singleLevel"/>
    <w:lvl w:ilvl="0">
      <w:start w:val="1"/>
      <w:numFmt w:val="decimal"/>
      <w:lvlText w:val="%1."/>
      <w:suff w:val="tab"/>
      <w:pPr>
        <w:tabs>
          <w:tab w:val="num" w:pos="540"/>
        </w:tabs>
        <w:ind w:left="540" w:hanging="300"/>
      </w:pPr>
    </w:lvl>
  </w:abstractNum>
  <w:num w:numId="14">
    <w:abstractNumId w:val="13"/>
    <w:lvlOverride w:ilvl="0">
      <w:startOverride w:val="1"/>
    </w:lvlOverride>
  </w:num>
  <w:abstractNum w:abstractNumId="14">
    <w:nsid w:val="0000000E"/>
    <w:tmpl w:val="A5A5000E"/>
    <w:multiLevelType w:val="singleLevel"/>
    <w:lvl w:ilvl="0">
      <w:start w:val="1"/>
      <w:numFmt w:val="decimal"/>
      <w:lvlText w:val="%1."/>
      <w:suff w:val="tab"/>
      <w:pPr>
        <w:tabs>
          <w:tab w:val="num" w:pos="540"/>
        </w:tabs>
        <w:ind w:left="540" w:hanging="300"/>
      </w:pPr>
    </w:lvl>
  </w:abstractNum>
  <w:num w:numId="15">
    <w:abstractNumId w:val="14"/>
    <w:lvlOverride w:ilvl="0">
      <w:startOverride w:val="1"/>
    </w:lvlOverride>
  </w:num>
  <w:num w:numId="16">
    <w:abstractNumId w:val="12"/>
    <w:lvlOverride w:ilvl="0">
      <w:startOverride w:val="1"/>
    </w:lvlOverride>
  </w:num>
  <w:num w:numId="17">
    <w:abstractNumId w:val="13"/>
    <w:lvlOverride w:ilvl="0">
      <w:startOverride w:val="1"/>
    </w:lvlOverride>
  </w:num>
  <w:num w:numId="18">
    <w:abstractNumId w:val="13"/>
    <w:lvlOverride w:ilvl="0">
      <w:startOverride w:val="1"/>
    </w:lvlOverride>
  </w:num>
  <w:num w:numId="19">
    <w:abstractNumId w:val="14"/>
    <w:lvlOverride w:ilvl="0">
      <w:startOverride w:val="1"/>
    </w:lvlOverride>
  </w:num>
  <w:abstractNum w:abstractNumId="15">
    <w:nsid w:val="0000000F"/>
    <w:tmpl w:val="B6B6000F"/>
    <w:multiLevelType w:val="singleLevel"/>
    <w:lvl w:ilvl="0">
      <w:start w:val="1"/>
      <w:numFmt w:val="decimal"/>
      <w:lvlText w:val="%1."/>
      <w:suff w:val="tab"/>
      <w:pPr>
        <w:tabs>
          <w:tab w:val="num" w:pos="540"/>
        </w:tabs>
        <w:ind w:left="540" w:hanging="300"/>
      </w:pPr>
    </w:lvl>
  </w:abstractNum>
  <w:num w:numId="20">
    <w:abstractNumId w:val="15"/>
  </w:num>
  <w:num w:numId="21">
    <w:abstractNumId w:val="15"/>
    <w:lvlOverride w:ilvl="0">
      <w:startOverride w:val="1"/>
    </w:lvlOverride>
  </w:num>
  <w:num w:numId="22">
    <w:abstractNumId w:val="15"/>
    <w:lvlOverride w:ilvl="0">
      <w:startOverride w:val="1"/>
    </w:lvlOverride>
  </w:num>
  <w:num w:numId="23">
    <w:abstractNumId w:val="15"/>
    <w:lvlOverride w:ilvl="0">
      <w:startOverride w:val="1"/>
    </w:lvlOverride>
  </w:num>
  <w:num w:numId="24">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Microsoft YaHei" w:hAnsi="Microsoft YaHei"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jc w:val="center"/>
    </w:pPr>
    <w:rPr>
      <w:rFonts w:asciiTheme="majorHAnsi" w:eastAsiaTheme="majorEastAsia" w:hAnsiTheme="majorHAnsi" w:cstheme="majorBidi" w:ascii="Microsoft YaHei" w:hAnsi="Microsoft YaHei" w:eastAsia="Microsoft YaHe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电解液体系与添加剂工程</dc:title>
  <dc:subject>动力电池深度学习第14期</dc:subject>
  <dc:creator>动力电池深度学习计划</dc:creator>
  <cp:keywords>动力电池, 锂离子电池, 制造质量, 工程学习</cp:keywords>
  <dc:description>generated by python-docx</dc:description>
  <cp:lastModifiedBy/>
  <cp:revision>1</cp:revision>
  <dcterms:created xsi:type="dcterms:W3CDTF">2013-12-23T23:15:00Z</dcterms:created>
  <dcterms:modified xsi:type="dcterms:W3CDTF">2013-12-23T23:15:00Z</dcterms:modified>
  <cp:category/>
</cp:coreProperties>
</file>