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after="600"/>
        <w:jc w:val="center"/>
      </w:pPr>
      <w:r>
        <w:rPr>
          <w:rFonts w:ascii="Microsoft YaHei" w:hAnsi="Microsoft YaHei" w:eastAsia="Microsoft YaHei"/>
          <w:b/>
          <w:i w:val="0"/>
          <w:color w:val="000000"/>
          <w:sz w:val="25"/>
        </w:rPr>
        <w:t>动力电池深度学习  60 天进阶课程</w:t>
      </w:r>
    </w:p>
    <w:p>
      <w:pPr>
        <w:pStyle w:val="Title"/>
        <w:jc w:val="center"/>
      </w:pPr>
      <w:r>
        <w:t>钠离子电池体系与关键材料</w:t>
      </w:r>
    </w:p>
    <w:p>
      <w:pPr>
        <w:spacing w:after="560"/>
        <w:jc w:val="center"/>
      </w:pPr>
      <w:r>
        <w:rPr>
          <w:rFonts w:ascii="Microsoft YaHei" w:hAnsi="Microsoft YaHei" w:eastAsia="Microsoft YaHei"/>
          <w:b w:val="0"/>
          <w:i w:val="0"/>
          <w:color w:val="000000"/>
          <w:sz w:val="31"/>
        </w:rPr>
        <w:t>层状氧化物  普鲁士蓝  硬碳  系统边界</w:t>
      </w:r>
    </w:p>
    <w:p>
      <w:pPr>
        <w:spacing w:after="920"/>
        <w:jc w:val="center"/>
      </w:pPr>
      <w:r>
        <w:rPr>
          <w:rFonts w:ascii="Microsoft YaHei" w:hAnsi="Microsoft YaHei" w:eastAsia="Microsoft YaHei"/>
          <w:b/>
          <w:i w:val="0"/>
          <w:color w:val="667085"/>
          <w:sz w:val="23"/>
        </w:rPr>
        <w:t>第 15 期  |  2026-09-15  |  制造质量</w:t>
      </w:r>
    </w:p>
    <w:p>
      <w:pPr>
        <w:spacing w:after="120" w:line="300" w:lineRule="auto"/>
      </w:pPr>
      <w:r>
        <w:rPr>
          <w:rFonts w:ascii="Microsoft YaHei" w:hAnsi="Microsoft YaHei" w:eastAsia="Microsoft YaHei"/>
          <w:b/>
          <w:i w:val="0"/>
          <w:color w:val="17365D"/>
          <w:sz w:val="22"/>
        </w:rPr>
        <w:t xml:space="preserve">本期结论  </w:t>
      </w:r>
      <w:r>
        <w:rPr>
          <w:rFonts w:ascii="Microsoft YaHei" w:hAnsi="Microsoft YaHei" w:eastAsia="Microsoft YaHei"/>
          <w:b w:val="0"/>
          <w:i w:val="0"/>
          <w:color w:val="24364B"/>
          <w:sz w:val="22"/>
        </w:rPr>
        <w:t>钠离子电池可利用更丰富的钠资源和不同材料组合，但较大的离子尺寸、较低工作电位与硬碳首效限制能量；其竞争力取决于正极、硬碳、电解液、预钠化和应用场景的系统匹配。</w:t>
      </w:r>
    </w:p>
    <w:p>
      <w:pPr>
        <w:spacing w:after="120" w:line="300" w:lineRule="auto" w:before="360"/>
      </w:pPr>
      <w:r>
        <w:rPr>
          <w:rFonts w:ascii="Microsoft YaHei" w:hAnsi="Microsoft YaHei" w:eastAsia="Microsoft YaHei"/>
          <w:b/>
          <w:i w:val="0"/>
          <w:color w:val="17365D"/>
          <w:sz w:val="20"/>
        </w:rPr>
        <w:t xml:space="preserve">阅读方法  </w:t>
      </w:r>
      <w:r>
        <w:rPr>
          <w:rFonts w:ascii="Microsoft YaHei" w:hAnsi="Microsoft YaHei" w:eastAsia="Microsoft YaHei"/>
          <w:b w:val="0"/>
          <w:i/>
          <w:color w:val="24364B"/>
          <w:sz w:val="20"/>
        </w:rPr>
        <w:t>先比较 Na+ 与 Li+ 的物理化学差异，再逐一理解三类正极、硬碳储钠和电解液界面，最后用电芯与供应链边界判断适用场景。</w:t>
      </w:r>
    </w:p>
    <w:p>
      <w:r>
        <w:br w:type="page"/>
      </w:r>
    </w:p>
    <w:p>
      <w:pPr>
        <w:pStyle w:val="Heading1"/>
        <w:keepNext/>
        <w:keepLines/>
      </w:pPr>
      <w:r>
        <w:t>1 本期学习目标</w:t>
      </w:r>
    </w:p>
    <w:p>
      <w:pPr>
        <w:spacing w:after="80" w:line="288" w:lineRule="auto"/>
        <w:numPr>
          <w:ilvl w:val="0"/>
          <w:numId w:val="21"/>
        </w:numPr>
      </w:pPr>
      <w:r>
        <w:rPr>
          <w:rFonts w:ascii="Microsoft YaHei" w:hAnsi="Microsoft YaHei" w:eastAsia="Microsoft YaHei"/>
          <w:b w:val="0"/>
          <w:i w:val="0"/>
          <w:color w:val="24364B"/>
          <w:sz w:val="21"/>
        </w:rPr>
        <w:t>比较 Na+ 与 Li+ 在离子半径、标准电位和宿主结构中的工程差异。</w:t>
      </w:r>
    </w:p>
    <w:p>
      <w:pPr>
        <w:spacing w:after="80" w:line="288" w:lineRule="auto"/>
        <w:numPr>
          <w:ilvl w:val="0"/>
          <w:numId w:val="21"/>
        </w:numPr>
      </w:pPr>
      <w:r>
        <w:rPr>
          <w:rFonts w:ascii="Microsoft YaHei" w:hAnsi="Microsoft YaHei" w:eastAsia="Microsoft YaHei"/>
          <w:b w:val="0"/>
          <w:i w:val="0"/>
          <w:color w:val="24364B"/>
          <w:sz w:val="21"/>
        </w:rPr>
        <w:t>区分层状氧化物、普鲁士蓝类似物和聚阴离子钠正极的主要优劣。</w:t>
      </w:r>
    </w:p>
    <w:p>
      <w:pPr>
        <w:spacing w:after="80" w:line="288" w:lineRule="auto"/>
        <w:numPr>
          <w:ilvl w:val="0"/>
          <w:numId w:val="21"/>
        </w:numPr>
      </w:pPr>
      <w:r>
        <w:rPr>
          <w:rFonts w:ascii="Microsoft YaHei" w:hAnsi="Microsoft YaHei" w:eastAsia="Microsoft YaHei"/>
          <w:b w:val="0"/>
          <w:i w:val="0"/>
          <w:color w:val="24364B"/>
          <w:sz w:val="21"/>
        </w:rPr>
        <w:t>理解硬碳斜坡区、平台区、孔结构、首圈效率和预钠化的关系。</w:t>
      </w:r>
    </w:p>
    <w:p>
      <w:pPr>
        <w:spacing w:after="80" w:line="288" w:lineRule="auto"/>
        <w:numPr>
          <w:ilvl w:val="0"/>
          <w:numId w:val="21"/>
        </w:numPr>
      </w:pPr>
      <w:r>
        <w:rPr>
          <w:rFonts w:ascii="Microsoft YaHei" w:hAnsi="Microsoft YaHei" w:eastAsia="Microsoft YaHei"/>
          <w:b w:val="0"/>
          <w:i w:val="0"/>
          <w:color w:val="24364B"/>
          <w:sz w:val="21"/>
        </w:rPr>
        <w:t>分析钠盐、溶剂化与 SEI 对低温、倍率、寿命和安全的影响。</w:t>
      </w:r>
    </w:p>
    <w:p>
      <w:pPr>
        <w:spacing w:after="80" w:line="288" w:lineRule="auto"/>
        <w:numPr>
          <w:ilvl w:val="0"/>
          <w:numId w:val="21"/>
        </w:numPr>
      </w:pPr>
      <w:r>
        <w:rPr>
          <w:rFonts w:ascii="Microsoft YaHei" w:hAnsi="Microsoft YaHei" w:eastAsia="Microsoft YaHei"/>
          <w:b w:val="0"/>
          <w:i w:val="0"/>
          <w:color w:val="24364B"/>
          <w:sz w:val="21"/>
        </w:rPr>
        <w:t>用电芯能量、资源、制造兼容与场景需求判断钠离子体系，而非只看原料价格。</w:t>
      </w:r>
    </w:p>
    <w:p>
      <w:pPr>
        <w:pStyle w:val="Heading1"/>
        <w:keepNext/>
        <w:keepLines/>
      </w:pPr>
      <w:r>
        <w:t>2 建立系统视角</w:t>
      </w:r>
    </w:p>
    <w:p>
      <w:pPr>
        <w:spacing w:after="120" w:line="300" w:lineRule="auto"/>
      </w:pPr>
      <w:r>
        <w:rPr>
          <w:rFonts w:ascii="Microsoft YaHei" w:hAnsi="Microsoft YaHei" w:eastAsia="Microsoft YaHei"/>
          <w:b w:val="0"/>
          <w:i w:val="0"/>
          <w:color w:val="24364B"/>
          <w:sz w:val="22"/>
        </w:rPr>
        <w:t>钠与锂同属碱金属，电池工作原理相似：充电时 Na+ 从正极迁移并储存在负极，电子经外电路流动；放电反向。但 Na+ 更大、更重，标准电位也不同，因此宿主结构、扩散、容量和电压不能照搬锂离子。</w:t>
      </w:r>
    </w:p>
    <w:p>
      <w:pPr>
        <w:spacing w:after="120" w:line="300" w:lineRule="auto"/>
      </w:pPr>
      <w:r>
        <w:rPr>
          <w:rFonts w:ascii="Microsoft YaHei" w:hAnsi="Microsoft YaHei" w:eastAsia="Microsoft YaHei"/>
          <w:b w:val="0"/>
          <w:i w:val="0"/>
          <w:color w:val="24364B"/>
          <w:sz w:val="22"/>
        </w:rPr>
        <w:t>钠离子并不是单一化学体系。正极可选层状氧化物、普鲁士蓝类似物或聚阴离子材料，负极通常采用硬碳；不同组合在能量、功率、低温、寿命、成本和供应链上形成不同边界。</w:t>
      </w:r>
    </w:p>
    <w:p>
      <w:pPr>
        <w:spacing w:after="120" w:line="300" w:lineRule="auto"/>
      </w:pPr>
      <w:r>
        <w:rPr>
          <w:rFonts w:ascii="Microsoft YaHei" w:hAnsi="Microsoft YaHei" w:eastAsia="Microsoft YaHei"/>
          <w:b w:val="0"/>
          <w:i w:val="0"/>
          <w:color w:val="24364B"/>
          <w:sz w:val="22"/>
        </w:rPr>
        <w:t>美国能源部 2023 年钠电池技术评估将材料选择、制造规模、成本和长期储能场景放在同一技术路线中。[1] 这类报告适合定义系统问题，具体性能仍应回到可复现的全电芯数据。</w:t>
      </w:r>
    </w:p>
    <w:p>
      <w:pPr>
        <w:keepNext/>
        <w:jc w:val="center"/>
      </w:pPr>
      <w:r>
        <w:drawing>
          <wp:inline xmlns:a="http://schemas.openxmlformats.org/drawingml/2006/main" xmlns:pic="http://schemas.openxmlformats.org/drawingml/2006/picture">
            <wp:extent cx="5806440" cy="2249995"/>
            <wp:docPr id="1" name="Picture 1" descr="钠离子电池材料组合链条，连接正极、硬碳负极、电解液、电芯设计和应用匹配。" title="动力电池制造质量链示意图"/>
            <wp:cNvGraphicFramePr>
              <a:graphicFrameLocks noChangeAspect="1"/>
            </wp:cNvGraphicFramePr>
            <a:graphic>
              <a:graphicData uri="http://schemas.openxmlformats.org/drawingml/2006/picture">
                <pic:pic>
                  <pic:nvPicPr>
                    <pic:cNvPr id="0" name="day15_chain.png"/>
                    <pic:cNvPicPr/>
                  </pic:nvPicPr>
                  <pic:blipFill>
                    <a:blip r:embed="rId13"/>
                    <a:stretch>
                      <a:fillRect/>
                    </a:stretch>
                  </pic:blipFill>
                  <pic:spPr>
                    <a:xfrm>
                      <a:off x="0" y="0"/>
                      <a:ext cx="5806440" cy="2249995"/>
                    </a:xfrm>
                    <a:prstGeom prst="rect"/>
                  </pic:spPr>
                </pic:pic>
              </a:graphicData>
            </a:graphic>
          </wp:inline>
        </w:drawing>
      </w:r>
    </w:p>
    <w:p>
      <w:pPr>
        <w:keepNext/>
        <w:spacing w:before="60" w:after="160"/>
        <w:jc w:val="center"/>
      </w:pPr>
      <w:r>
        <w:rPr>
          <w:rFonts w:ascii="Microsoft YaHei" w:hAnsi="Microsoft YaHei" w:eastAsia="Microsoft YaHei"/>
          <w:b w:val="0"/>
          <w:i/>
          <w:color w:val="667085"/>
          <w:sz w:val="18"/>
        </w:rPr>
        <w:t>图 1  钠离子电池从材料选择到应用匹配的系统链  本文绘制</w:t>
      </w:r>
    </w:p>
    <w:tbl>
      <w:tblPr>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1900"/>
        <w:gridCol w:w="2450"/>
        <w:gridCol w:w="2700"/>
        <w:gridCol w:w="2310"/>
      </w:tblGrid>
      <w:tr>
        <w:trPr>
          <w:tblHeader w:val="true"/>
        </w:trPr>
        <w:tc>
          <w:tcPr>
            <w:tcW w:type="dxa" w:w="1900"/>
            <w:shd w:fill="17365D"/>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FFFFFF"/>
                <w:sz w:val="19"/>
              </w:rPr>
              <w:t>正极家族</w:t>
            </w:r>
          </w:p>
        </w:tc>
        <w:tc>
          <w:tcPr>
            <w:tcW w:type="dxa" w:w="2450"/>
            <w:shd w:fill="17365D"/>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i w:val="0"/>
                <w:color w:val="FFFFFF"/>
                <w:sz w:val="19"/>
              </w:rPr>
              <w:t>主要优势</w:t>
            </w:r>
          </w:p>
        </w:tc>
        <w:tc>
          <w:tcPr>
            <w:tcW w:type="dxa" w:w="2700"/>
            <w:shd w:fill="17365D"/>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i w:val="0"/>
                <w:color w:val="FFFFFF"/>
                <w:sz w:val="19"/>
              </w:rPr>
              <w:t>主要边界</w:t>
            </w:r>
          </w:p>
        </w:tc>
        <w:tc>
          <w:tcPr>
            <w:tcW w:type="dxa" w:w="2310"/>
            <w:shd w:fill="17365D"/>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i w:val="0"/>
                <w:color w:val="FFFFFF"/>
                <w:sz w:val="19"/>
              </w:rPr>
              <w:t>关键控制</w:t>
            </w:r>
          </w:p>
        </w:tc>
      </w:tr>
      <w:tr>
        <w:tc>
          <w:tcPr>
            <w:tcW w:type="dxa" w:w="1900"/>
            <w:shd w:fill="FFFFFF"/>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层状氧化物</w:t>
            </w:r>
          </w:p>
        </w:tc>
        <w:tc>
          <w:tcPr>
            <w:tcW w:type="dxa" w:w="245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容量和倍率潜力高</w:t>
            </w:r>
          </w:p>
        </w:tc>
        <w:tc>
          <w:tcPr>
            <w:tcW w:type="dxa" w:w="27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空气敏感 相变 缺陷与裂纹</w:t>
            </w:r>
          </w:p>
        </w:tc>
        <w:tc>
          <w:tcPr>
            <w:tcW w:type="dxa" w:w="231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组成 烧结 冷却 表面</w:t>
            </w:r>
          </w:p>
        </w:tc>
      </w:tr>
      <w:tr>
        <w:tc>
          <w:tcPr>
            <w:tcW w:type="dxa" w:w="1900"/>
            <w:shd w:fill="F2F5F8"/>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普鲁士蓝类似物</w:t>
            </w:r>
          </w:p>
        </w:tc>
        <w:tc>
          <w:tcPr>
            <w:tcW w:type="dxa" w:w="245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开放框架 低温和倍率潜力</w:t>
            </w:r>
          </w:p>
        </w:tc>
        <w:tc>
          <w:tcPr>
            <w:tcW w:type="dxa" w:w="270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结晶水 空位 低密度</w:t>
            </w:r>
          </w:p>
        </w:tc>
        <w:tc>
          <w:tcPr>
            <w:tcW w:type="dxa" w:w="231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水分 空位 粒径与电解液</w:t>
            </w:r>
          </w:p>
        </w:tc>
      </w:tr>
      <w:tr>
        <w:tc>
          <w:tcPr>
            <w:tcW w:type="dxa" w:w="1900"/>
            <w:shd w:fill="FFFFFF"/>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聚阴离子</w:t>
            </w:r>
          </w:p>
        </w:tc>
        <w:tc>
          <w:tcPr>
            <w:tcW w:type="dxa" w:w="245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结构稳定 电压可调</w:t>
            </w:r>
          </w:p>
        </w:tc>
        <w:tc>
          <w:tcPr>
            <w:tcW w:type="dxa" w:w="27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电导和能量密度限制</w:t>
            </w:r>
          </w:p>
        </w:tc>
        <w:tc>
          <w:tcPr>
            <w:tcW w:type="dxa" w:w="231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碳包覆 粒径 相纯度</w:t>
            </w:r>
          </w:p>
        </w:tc>
      </w:tr>
      <w:tr>
        <w:tc>
          <w:tcPr>
            <w:tcW w:type="dxa" w:w="1900"/>
            <w:shd w:fill="F2F5F8"/>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复合正极</w:t>
            </w:r>
          </w:p>
        </w:tc>
        <w:tc>
          <w:tcPr>
            <w:tcW w:type="dxa" w:w="245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性能轮廓可定制</w:t>
            </w:r>
          </w:p>
        </w:tc>
        <w:tc>
          <w:tcPr>
            <w:tcW w:type="dxa" w:w="270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平台和加工复杂</w:t>
            </w:r>
          </w:p>
        </w:tc>
        <w:tc>
          <w:tcPr>
            <w:tcW w:type="dxa" w:w="231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比例 分布 界面兼容</w:t>
            </w:r>
          </w:p>
        </w:tc>
      </w:tr>
    </w:tbl>
    <w:p>
      <w:pPr>
        <w:spacing w:after="40"/>
      </w:pPr>
    </w:p>
    <w:p>
      <w:pPr>
        <w:pStyle w:val="Heading1"/>
        <w:keepNext/>
        <w:keepLines/>
      </w:pPr>
      <w:r>
        <w:t>3 Na+ 尺寸与电位改变材料选择</w:t>
      </w:r>
    </w:p>
    <w:p>
      <w:pPr>
        <w:spacing w:after="120" w:line="300" w:lineRule="auto"/>
      </w:pPr>
      <w:r>
        <w:rPr>
          <w:rFonts w:ascii="Microsoft YaHei" w:hAnsi="Microsoft YaHei" w:eastAsia="Microsoft YaHei"/>
          <w:b w:val="0"/>
          <w:i w:val="0"/>
          <w:color w:val="24364B"/>
          <w:sz w:val="22"/>
        </w:rPr>
        <w:t>Na+ 离子半径通常大于 Li+，在相同宿主中会引起不同的配位、扩散势垒和体积变化。某些适合锂的石墨层间结构不能有效可逆储钠，因此钠离子普遍转向无序度和孔隙更高的硬碳。</w:t>
      </w:r>
    </w:p>
    <w:p>
      <w:pPr>
        <w:spacing w:after="120" w:line="300" w:lineRule="auto"/>
      </w:pPr>
      <w:r>
        <w:rPr>
          <w:rFonts w:ascii="Microsoft YaHei" w:hAnsi="Microsoft YaHei" w:eastAsia="Microsoft YaHei"/>
          <w:b w:val="0"/>
          <w:i w:val="0"/>
          <w:color w:val="24364B"/>
          <w:sz w:val="22"/>
        </w:rPr>
        <w:t>钠更高的摩尔质量与较不负的金属标准电位通常不利于质量能量和电压。另一方面，钠盐和铝集流体等选择可能带来资源与制造方面的机会。</w:t>
      </w:r>
    </w:p>
    <w:p>
      <w:pPr>
        <w:spacing w:after="120" w:line="300" w:lineRule="auto"/>
      </w:pPr>
      <w:r>
        <w:rPr>
          <w:rFonts w:ascii="Microsoft YaHei" w:hAnsi="Microsoft YaHei" w:eastAsia="Microsoft YaHei"/>
          <w:b w:val="0"/>
          <w:i w:val="0"/>
          <w:color w:val="24364B"/>
          <w:sz w:val="22"/>
        </w:rPr>
        <w:t>材料优势必须在电芯层面计算：正极钠库存、硬碳首效、电解液量、极片压实和壳体都会影响最终 Wh/kg 与 Wh/L。</w:t>
      </w:r>
    </w:p>
    <w:p>
      <w:pPr>
        <w:spacing w:before="60" w:after="60"/>
        <w:jc w:val="center"/>
      </w:pPr>
      <m:oMathPara>
        <m:oMath>
          <m:r>
            <m:t>E_spec ≈ Q_cell V_avg / m_cell</m:t>
          </m:r>
        </m:oMath>
      </m:oMathPara>
    </w:p>
    <w:p>
      <w:pPr>
        <w:spacing w:after="120" w:line="300" w:lineRule="auto"/>
      </w:pPr>
      <w:r>
        <w:rPr>
          <w:rFonts w:ascii="Microsoft YaHei" w:hAnsi="Microsoft YaHei" w:eastAsia="Microsoft YaHei"/>
          <w:b/>
          <w:i w:val="0"/>
          <w:color w:val="17365D"/>
          <w:sz w:val="20"/>
        </w:rPr>
        <w:t xml:space="preserve">变量与单位  </w:t>
      </w:r>
      <w:r>
        <w:rPr>
          <w:rFonts w:ascii="Microsoft YaHei" w:hAnsi="Microsoft YaHei" w:eastAsia="Microsoft YaHei"/>
          <w:b w:val="0"/>
          <w:i w:val="0"/>
          <w:color w:val="24364B"/>
          <w:sz w:val="20"/>
        </w:rPr>
        <w:t>E_spec 为电芯质量比能量，单位 Wh·kg⁻¹；Q_cell 为可用容量，单位 Ah；V_avg 为平均放电电压，单位 V；m_cell 为完整电芯质量，单位 kg。</w:t>
      </w:r>
    </w:p>
    <w:p>
      <w:pPr>
        <w:pStyle w:val="Heading1"/>
        <w:keepNext/>
        <w:keepLines/>
      </w:pPr>
      <w:r>
        <w:t>4 层状氧化物容量高但结构窗口敏感</w:t>
      </w:r>
    </w:p>
    <w:p>
      <w:pPr>
        <w:spacing w:after="120" w:line="300" w:lineRule="auto"/>
      </w:pPr>
      <w:r>
        <w:rPr>
          <w:rFonts w:ascii="Microsoft YaHei" w:hAnsi="Microsoft YaHei" w:eastAsia="Microsoft YaHei"/>
          <w:b w:val="0"/>
          <w:i w:val="0"/>
          <w:color w:val="24364B"/>
          <w:sz w:val="22"/>
        </w:rPr>
        <w:t>钠层状氧化物可采用 O3、P2 等堆垛类型。充电脱钠会改变层间静电与过渡金属价态，并可能触发滑移、相变和氧活性。组成与截止电压决定可逆程度。</w:t>
      </w:r>
    </w:p>
    <w:p>
      <w:pPr>
        <w:spacing w:after="120" w:line="300" w:lineRule="auto"/>
      </w:pPr>
      <w:r>
        <w:rPr>
          <w:rFonts w:ascii="Microsoft YaHei" w:hAnsi="Microsoft YaHei" w:eastAsia="Microsoft YaHei"/>
          <w:b w:val="0"/>
          <w:i w:val="0"/>
          <w:color w:val="24364B"/>
          <w:sz w:val="22"/>
        </w:rPr>
        <w:t>Argonne 团队利用原位与多尺度表征发现，一类钠层状氧化物在合成冷却阶段形成的原生晶格应变和缺陷会促进颗粒开裂，并在快充或高温下恶化。[2] 这把长期寿命问题连接到了烧结后的冷却历史。</w:t>
      </w:r>
    </w:p>
    <w:p>
      <w:pPr>
        <w:spacing w:after="120" w:line="300" w:lineRule="auto"/>
      </w:pPr>
      <w:r>
        <w:rPr>
          <w:rFonts w:ascii="Microsoft YaHei" w:hAnsi="Microsoft YaHei" w:eastAsia="Microsoft YaHei"/>
          <w:b w:val="0"/>
          <w:i w:val="0"/>
          <w:color w:val="24364B"/>
          <w:sz w:val="22"/>
        </w:rPr>
        <w:t>高电压可增加容量和能量，但表面反应、相变和气体也会增强。材料优化与 BMS 电压窗口必须协同，不能把半电池极限容量当作额定可用容量。</w:t>
      </w:r>
    </w:p>
    <w:p>
      <w:pPr>
        <w:spacing w:before="60" w:after="60"/>
        <w:jc w:val="center"/>
      </w:pPr>
      <m:oMathPara>
        <m:oMath>
          <m:r>
            <m:t>x_Na = Q M / (nF m)</m:t>
          </m:r>
        </m:oMath>
      </m:oMathPara>
    </w:p>
    <w:p>
      <w:pPr>
        <w:spacing w:after="120" w:line="300" w:lineRule="auto"/>
      </w:pPr>
      <w:r>
        <w:rPr>
          <w:rFonts w:ascii="Microsoft YaHei" w:hAnsi="Microsoft YaHei" w:eastAsia="Microsoft YaHei"/>
          <w:b/>
          <w:i w:val="0"/>
          <w:color w:val="17365D"/>
          <w:sz w:val="20"/>
        </w:rPr>
        <w:t xml:space="preserve">变量与单位  </w:t>
      </w:r>
      <w:r>
        <w:rPr>
          <w:rFonts w:ascii="Microsoft YaHei" w:hAnsi="Microsoft YaHei" w:eastAsia="Microsoft YaHei"/>
          <w:b w:val="0"/>
          <w:i w:val="0"/>
          <w:color w:val="24364B"/>
          <w:sz w:val="20"/>
        </w:rPr>
        <w:t>x_Na 为单位化学式脱嵌钠量；Q 为测得电量，单位 C；M 为活性材料摩尔质量，单位 kg·mol⁻¹；n 为每个 Na 对应电子数；F 为法拉第常数；m 为材料质量，单位 kg。</w:t>
      </w:r>
    </w:p>
    <w:tbl>
      <w:tblPr>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1850"/>
        <w:gridCol w:w="2450"/>
        <w:gridCol w:w="2500"/>
        <w:gridCol w:w="2560"/>
      </w:tblGrid>
      <w:tr>
        <w:trPr>
          <w:tblHeader w:val="true"/>
        </w:trPr>
        <w:tc>
          <w:tcPr>
            <w:tcW w:type="dxa" w:w="1850"/>
            <w:shd w:fill="17365D"/>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FFFFFF"/>
                <w:sz w:val="19"/>
              </w:rPr>
              <w:t>失效路径</w:t>
            </w:r>
          </w:p>
        </w:tc>
        <w:tc>
          <w:tcPr>
            <w:tcW w:type="dxa" w:w="2450"/>
            <w:shd w:fill="17365D"/>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i w:val="0"/>
                <w:color w:val="FFFFFF"/>
                <w:sz w:val="19"/>
              </w:rPr>
              <w:t>触发条件</w:t>
            </w:r>
          </w:p>
        </w:tc>
        <w:tc>
          <w:tcPr>
            <w:tcW w:type="dxa" w:w="2500"/>
            <w:shd w:fill="17365D"/>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i w:val="0"/>
                <w:color w:val="FFFFFF"/>
                <w:sz w:val="19"/>
              </w:rPr>
              <w:t>可见信号</w:t>
            </w:r>
          </w:p>
        </w:tc>
        <w:tc>
          <w:tcPr>
            <w:tcW w:type="dxa" w:w="2560"/>
            <w:shd w:fill="17365D"/>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i w:val="0"/>
                <w:color w:val="FFFFFF"/>
                <w:sz w:val="19"/>
              </w:rPr>
              <w:t>验证方法</w:t>
            </w:r>
          </w:p>
        </w:tc>
      </w:tr>
      <w:tr>
        <w:tc>
          <w:tcPr>
            <w:tcW w:type="dxa" w:w="1850"/>
            <w:shd w:fill="FFFFFF"/>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层滑移或相变</w:t>
            </w:r>
          </w:p>
        </w:tc>
        <w:tc>
          <w:tcPr>
            <w:tcW w:type="dxa" w:w="245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高脱钠和高电压</w:t>
            </w:r>
          </w:p>
        </w:tc>
        <w:tc>
          <w:tcPr>
            <w:tcW w:type="dxa" w:w="25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平台变化 电压滞回</w:t>
            </w:r>
          </w:p>
        </w:tc>
        <w:tc>
          <w:tcPr>
            <w:tcW w:type="dxa" w:w="256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原位 XRD dQ/dV</w:t>
            </w:r>
          </w:p>
        </w:tc>
      </w:tr>
      <w:tr>
        <w:tc>
          <w:tcPr>
            <w:tcW w:type="dxa" w:w="1850"/>
            <w:shd w:fill="F2F5F8"/>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颗粒开裂</w:t>
            </w:r>
          </w:p>
        </w:tc>
        <w:tc>
          <w:tcPr>
            <w:tcW w:type="dxa" w:w="245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内应变 快充 高温</w:t>
            </w:r>
          </w:p>
        </w:tc>
        <w:tc>
          <w:tcPr>
            <w:tcW w:type="dxa" w:w="250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阻抗增长 新表面</w:t>
            </w:r>
          </w:p>
        </w:tc>
        <w:tc>
          <w:tcPr>
            <w:tcW w:type="dxa" w:w="256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截面 TEM/XCT EIS</w:t>
            </w:r>
          </w:p>
        </w:tc>
      </w:tr>
      <w:tr>
        <w:tc>
          <w:tcPr>
            <w:tcW w:type="dxa" w:w="1850"/>
            <w:shd w:fill="FFFFFF"/>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表面副反应</w:t>
            </w:r>
          </w:p>
        </w:tc>
        <w:tc>
          <w:tcPr>
            <w:tcW w:type="dxa" w:w="245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高电位 水分与缺陷</w:t>
            </w:r>
          </w:p>
        </w:tc>
        <w:tc>
          <w:tcPr>
            <w:tcW w:type="dxa" w:w="25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气体 CEI 增厚</w:t>
            </w:r>
          </w:p>
        </w:tc>
        <w:tc>
          <w:tcPr>
            <w:tcW w:type="dxa" w:w="256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气体分析 表面谱</w:t>
            </w:r>
          </w:p>
        </w:tc>
      </w:tr>
      <w:tr>
        <w:tc>
          <w:tcPr>
            <w:tcW w:type="dxa" w:w="1850"/>
            <w:shd w:fill="F2F5F8"/>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金属迁移</w:t>
            </w:r>
          </w:p>
        </w:tc>
        <w:tc>
          <w:tcPr>
            <w:tcW w:type="dxa" w:w="245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结构不稳与高温</w:t>
            </w:r>
          </w:p>
        </w:tc>
        <w:tc>
          <w:tcPr>
            <w:tcW w:type="dxa" w:w="250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容量和动力学下降</w:t>
            </w:r>
          </w:p>
        </w:tc>
        <w:tc>
          <w:tcPr>
            <w:tcW w:type="dxa" w:w="256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XAS TEM 衍射</w:t>
            </w:r>
          </w:p>
        </w:tc>
      </w:tr>
    </w:tbl>
    <w:p>
      <w:pPr>
        <w:spacing w:after="40"/>
      </w:pPr>
    </w:p>
    <w:p>
      <w:pPr>
        <w:pStyle w:val="Heading1"/>
        <w:keepNext/>
        <w:keepLines/>
      </w:pPr>
      <w:r>
        <w:t>5 普鲁士蓝类似物重视空位与结晶水</w:t>
      </w:r>
    </w:p>
    <w:p>
      <w:pPr>
        <w:spacing w:after="120" w:line="300" w:lineRule="auto"/>
      </w:pPr>
      <w:r>
        <w:rPr>
          <w:rFonts w:ascii="Microsoft YaHei" w:hAnsi="Microsoft YaHei" w:eastAsia="Microsoft YaHei"/>
          <w:b w:val="0"/>
          <w:i w:val="0"/>
          <w:color w:val="24364B"/>
          <w:sz w:val="22"/>
        </w:rPr>
        <w:t>普鲁士蓝类似物具有开放三维框架，Na+ 迁移路径较宽，倍率和低温潜力突出。组成与过渡金属选择可调节电压与容量。</w:t>
      </w:r>
    </w:p>
    <w:p>
      <w:pPr>
        <w:spacing w:after="120" w:line="300" w:lineRule="auto"/>
      </w:pPr>
      <w:r>
        <w:rPr>
          <w:rFonts w:ascii="Microsoft YaHei" w:hAnsi="Microsoft YaHei" w:eastAsia="Microsoft YaHei"/>
          <w:b w:val="0"/>
          <w:i w:val="0"/>
          <w:color w:val="24364B"/>
          <w:sz w:val="22"/>
        </w:rPr>
        <w:t>合成产生的 [M(CN)6] 空位和框架水会减少可用位点、改变局部电荷并影响副反应。材料密度相对较低也会限制体积能量，因此需同时优化结晶质量和压实。</w:t>
      </w:r>
    </w:p>
    <w:p>
      <w:pPr>
        <w:spacing w:after="120" w:line="300" w:lineRule="auto"/>
      </w:pPr>
      <w:r>
        <w:rPr>
          <w:rFonts w:ascii="Microsoft YaHei" w:hAnsi="Microsoft YaHei" w:eastAsia="Microsoft YaHei"/>
          <w:b w:val="0"/>
          <w:i w:val="0"/>
          <w:color w:val="24364B"/>
          <w:sz w:val="22"/>
        </w:rPr>
        <w:t>2026 年 PNNL 普鲁士蓝/硬碳全电芯研究通过调节 NaFSI—醚类的溶剂化结构，使阴离子更多参与界面，并在特定 2C 测试中实现较长循环。[3] 结果说明正极框架和电解液界面必须共同设计。</w:t>
      </w:r>
    </w:p>
    <w:p>
      <w:pPr>
        <w:spacing w:before="60" w:after="60"/>
        <w:jc w:val="center"/>
      </w:pPr>
      <m:oMathPara>
        <m:oMath>
          <m:r>
            <m:t>Q_theory = nF / (3.6M)</m:t>
          </m:r>
        </m:oMath>
      </m:oMathPara>
    </w:p>
    <w:p>
      <w:pPr>
        <w:spacing w:after="120" w:line="300" w:lineRule="auto"/>
      </w:pPr>
      <w:r>
        <w:rPr>
          <w:rFonts w:ascii="Microsoft YaHei" w:hAnsi="Microsoft YaHei" w:eastAsia="Microsoft YaHei"/>
          <w:b/>
          <w:i w:val="0"/>
          <w:color w:val="17365D"/>
          <w:sz w:val="20"/>
        </w:rPr>
        <w:t xml:space="preserve">变量与单位  </w:t>
      </w:r>
      <w:r>
        <w:rPr>
          <w:rFonts w:ascii="Microsoft YaHei" w:hAnsi="Microsoft YaHei" w:eastAsia="Microsoft YaHei"/>
          <w:b w:val="0"/>
          <w:i w:val="0"/>
          <w:color w:val="24364B"/>
          <w:sz w:val="20"/>
        </w:rPr>
        <w:t>Q_theory 为理论比容量，单位 mAh·g⁻¹；n 为可逆电子数；F 为法拉第常数；M 为材料摩尔质量，单位 g·mol⁻¹。结构空位和结晶水会改变实际可逆电子数及质量。</w:t>
      </w:r>
    </w:p>
    <w:p>
      <w:pPr>
        <w:pStyle w:val="Heading1"/>
        <w:keepNext/>
        <w:keepLines/>
      </w:pPr>
      <w:r>
        <w:t>6 聚阴离子正极以稳定换取密度</w:t>
      </w:r>
    </w:p>
    <w:p>
      <w:pPr>
        <w:spacing w:after="120" w:line="300" w:lineRule="auto"/>
      </w:pPr>
      <w:r>
        <w:rPr>
          <w:rFonts w:ascii="Microsoft YaHei" w:hAnsi="Microsoft YaHei" w:eastAsia="Microsoft YaHei"/>
          <w:b w:val="0"/>
          <w:i w:val="0"/>
          <w:color w:val="24364B"/>
          <w:sz w:val="22"/>
        </w:rPr>
        <w:t>NASICON、磷酸盐和氟磷酸盐等聚阴离子材料利用强共价基团稳定骨架，并可通过诱导效应调节过渡金属氧化还原电位。开放通道有助于 Na+ 迁移。</w:t>
      </w:r>
    </w:p>
    <w:p>
      <w:pPr>
        <w:spacing w:after="120" w:line="300" w:lineRule="auto"/>
      </w:pPr>
      <w:r>
        <w:rPr>
          <w:rFonts w:ascii="Microsoft YaHei" w:hAnsi="Microsoft YaHei" w:eastAsia="Microsoft YaHei"/>
          <w:b w:val="0"/>
          <w:i w:val="0"/>
          <w:color w:val="24364B"/>
          <w:sz w:val="22"/>
        </w:rPr>
        <w:t>其不足常包括本征电子电导低、分子量较大和压实密度受限，因此需要碳包覆、颗粒控制和高载量电极设计。</w:t>
      </w:r>
    </w:p>
    <w:p>
      <w:pPr>
        <w:spacing w:after="120" w:line="300" w:lineRule="auto"/>
      </w:pPr>
      <w:r>
        <w:rPr>
          <w:rFonts w:ascii="Microsoft YaHei" w:hAnsi="Microsoft YaHei" w:eastAsia="Microsoft YaHei"/>
          <w:b w:val="0"/>
          <w:i w:val="0"/>
          <w:color w:val="24364B"/>
          <w:sz w:val="22"/>
        </w:rPr>
        <w:t>与 LFP 类似，粉末倍率不能直接代表厚电极。碳含量、孔隙、面容量和粘结剂决定体积能量与制造适配。</w:t>
      </w:r>
    </w:p>
    <w:p>
      <w:pPr>
        <w:spacing w:before="60" w:after="60"/>
        <w:jc w:val="center"/>
      </w:pPr>
      <m:oMathPara>
        <m:oMath>
          <m:r>
            <m:t>Q_areal = m_areal Q_spec U</m:t>
          </m:r>
        </m:oMath>
      </m:oMathPara>
    </w:p>
    <w:p>
      <w:pPr>
        <w:spacing w:after="120" w:line="300" w:lineRule="auto"/>
      </w:pPr>
      <w:r>
        <w:rPr>
          <w:rFonts w:ascii="Microsoft YaHei" w:hAnsi="Microsoft YaHei" w:eastAsia="Microsoft YaHei"/>
          <w:b/>
          <w:i w:val="0"/>
          <w:color w:val="17365D"/>
          <w:sz w:val="20"/>
        </w:rPr>
        <w:t xml:space="preserve">变量与单位  </w:t>
      </w:r>
      <w:r>
        <w:rPr>
          <w:rFonts w:ascii="Microsoft YaHei" w:hAnsi="Microsoft YaHei" w:eastAsia="Microsoft YaHei"/>
          <w:b w:val="0"/>
          <w:i w:val="0"/>
          <w:color w:val="24364B"/>
          <w:sz w:val="20"/>
        </w:rPr>
        <w:t>Q_areal 为面容量，单位 Ah·m⁻²；m_areal 为活性材料面质量，单位 kg·m⁻²；Q_spec 为比容量，单位 Ah·kg⁻¹；U 为实际利用率，无量纲。</w:t>
      </w:r>
    </w:p>
    <w:p>
      <w:pPr>
        <w:pStyle w:val="Heading1"/>
        <w:keepNext/>
        <w:keepLines/>
      </w:pPr>
      <w:r>
        <w:t>7 硬碳储钠包含斜坡和低电位平台</w:t>
      </w:r>
    </w:p>
    <w:p>
      <w:pPr>
        <w:spacing w:after="120" w:line="300" w:lineRule="auto"/>
      </w:pPr>
      <w:r>
        <w:rPr>
          <w:rFonts w:ascii="Microsoft YaHei" w:hAnsi="Microsoft YaHei" w:eastAsia="Microsoft YaHei"/>
          <w:b w:val="0"/>
          <w:i w:val="0"/>
          <w:color w:val="24364B"/>
          <w:sz w:val="22"/>
        </w:rPr>
        <w:t>硬碳由无序石墨微晶、缺陷与纳米孔共同构成。常见电压曲线包括较高电位斜坡和接近低电位的平台，两者的微观来源仍会随前驱体与热处理而变化。</w:t>
      </w:r>
    </w:p>
    <w:p>
      <w:pPr>
        <w:spacing w:after="120" w:line="300" w:lineRule="auto"/>
      </w:pPr>
      <w:r>
        <w:rPr>
          <w:rFonts w:ascii="Microsoft YaHei" w:hAnsi="Microsoft YaHei" w:eastAsia="Microsoft YaHei"/>
          <w:b w:val="0"/>
          <w:i w:val="0"/>
          <w:color w:val="24364B"/>
          <w:sz w:val="22"/>
        </w:rPr>
        <w:t>斜坡容量常与缺陷和边缘位点吸附有关，平台容量则常与层间嵌入和封闭孔填充联系。增加缺陷可能提高斜坡，却也增加表面积和 SEI 消耗。</w:t>
      </w:r>
    </w:p>
    <w:p>
      <w:pPr>
        <w:spacing w:after="120" w:line="300" w:lineRule="auto"/>
      </w:pPr>
      <w:r>
        <w:rPr>
          <w:rFonts w:ascii="Microsoft YaHei" w:hAnsi="Microsoft YaHei" w:eastAsia="Microsoft YaHei"/>
          <w:b w:val="0"/>
          <w:i w:val="0"/>
          <w:color w:val="24364B"/>
          <w:sz w:val="22"/>
        </w:rPr>
        <w:t>硬碳前驱体、碳化温度、升温与气氛决定微晶层间距、孔体积、表面官能团和振实密度。DOE 2024 年项目选择包括以国内石油焦开发连续水热硬碳工艺，说明制造一致性和原料路线是商业化重点。[4]</w:t>
      </w:r>
    </w:p>
    <w:p>
      <w:pPr>
        <w:spacing w:before="60" w:after="60"/>
        <w:jc w:val="center"/>
      </w:pPr>
      <m:oMathPara>
        <m:oMath>
          <m:r>
            <m:t>ICE = Q_discharge,1 / Q_charge,1</m:t>
          </m:r>
        </m:oMath>
      </m:oMathPara>
    </w:p>
    <w:p>
      <w:pPr>
        <w:spacing w:after="120" w:line="300" w:lineRule="auto"/>
      </w:pPr>
      <w:r>
        <w:rPr>
          <w:rFonts w:ascii="Microsoft YaHei" w:hAnsi="Microsoft YaHei" w:eastAsia="Microsoft YaHei"/>
          <w:b/>
          <w:i w:val="0"/>
          <w:color w:val="17365D"/>
          <w:sz w:val="20"/>
        </w:rPr>
        <w:t xml:space="preserve">变量与单位  </w:t>
      </w:r>
      <w:r>
        <w:rPr>
          <w:rFonts w:ascii="Microsoft YaHei" w:hAnsi="Microsoft YaHei" w:eastAsia="Microsoft YaHei"/>
          <w:b w:val="0"/>
          <w:i w:val="0"/>
          <w:color w:val="24364B"/>
          <w:sz w:val="20"/>
        </w:rPr>
        <w:t>ICE 为首圈库仑效率，无量纲；Q_discharge,1 与 Q_charge,1 为首圈放电和充电容量，单位 Ah。方向定义应按钠全电芯或半电池测试协议统一。</w:t>
      </w:r>
    </w:p>
    <w:p>
      <w:pPr>
        <w:pStyle w:val="Heading1"/>
        <w:keepNext/>
        <w:keepLines/>
      </w:pPr>
      <w:r>
        <w:t>8 首效和预钠化决定正极钠库存</w:t>
      </w:r>
    </w:p>
    <w:p>
      <w:pPr>
        <w:spacing w:after="120" w:line="300" w:lineRule="auto"/>
      </w:pPr>
      <w:r>
        <w:rPr>
          <w:rFonts w:ascii="Microsoft YaHei" w:hAnsi="Microsoft YaHei" w:eastAsia="Microsoft YaHei"/>
          <w:b w:val="0"/>
          <w:i w:val="0"/>
          <w:color w:val="24364B"/>
          <w:sz w:val="22"/>
        </w:rPr>
        <w:t>硬碳首圈形成 SEI 并在部分位点不可逆储钠，会消耗来自正极的有限钠库存。若正极没有额外钠源，全电芯可用容量会低于半电池材料容量。</w:t>
      </w:r>
    </w:p>
    <w:p>
      <w:pPr>
        <w:spacing w:after="120" w:line="300" w:lineRule="auto"/>
      </w:pPr>
      <w:r>
        <w:rPr>
          <w:rFonts w:ascii="Microsoft YaHei" w:hAnsi="Microsoft YaHei" w:eastAsia="Microsoft YaHei"/>
          <w:b w:val="0"/>
          <w:i w:val="0"/>
          <w:color w:val="24364B"/>
          <w:sz w:val="22"/>
        </w:rPr>
        <w:t>预钠化可通过化学、电化学或牺牲添加剂等方式补偿库存，但引入计量、安全、均匀性和制造兼容问题。补偿过量还可能造成低电位析钠风险。</w:t>
      </w:r>
    </w:p>
    <w:p>
      <w:pPr>
        <w:spacing w:after="120" w:line="300" w:lineRule="auto"/>
      </w:pPr>
      <w:r>
        <w:rPr>
          <w:rFonts w:ascii="Microsoft YaHei" w:hAnsi="Microsoft YaHei" w:eastAsia="Microsoft YaHei"/>
          <w:b w:val="0"/>
          <w:i w:val="0"/>
          <w:color w:val="24364B"/>
          <w:sz w:val="22"/>
        </w:rPr>
        <w:t>全电芯 N/P 与钠库存设计要联合考虑正负极首效、形成损失、老化副反应和容量漂移。初始平衡正确并不保证寿命末期仍有安全余量。</w:t>
      </w:r>
    </w:p>
    <w:p>
      <w:pPr>
        <w:spacing w:before="60" w:after="60"/>
        <w:jc w:val="center"/>
      </w:pPr>
      <m:oMathPara>
        <m:oMath>
          <m:r>
            <m:t>Q_Na,usable = Q_cathode − Q_irrev,anode − Q_side</m:t>
          </m:r>
        </m:oMath>
      </m:oMathPara>
    </w:p>
    <w:p>
      <w:pPr>
        <w:spacing w:after="120" w:line="300" w:lineRule="auto"/>
      </w:pPr>
      <w:r>
        <w:rPr>
          <w:rFonts w:ascii="Microsoft YaHei" w:hAnsi="Microsoft YaHei" w:eastAsia="Microsoft YaHei"/>
          <w:b/>
          <w:i w:val="0"/>
          <w:color w:val="17365D"/>
          <w:sz w:val="20"/>
        </w:rPr>
        <w:t xml:space="preserve">变量与单位  </w:t>
      </w:r>
      <w:r>
        <w:rPr>
          <w:rFonts w:ascii="Microsoft YaHei" w:hAnsi="Microsoft YaHei" w:eastAsia="Microsoft YaHei"/>
          <w:b w:val="0"/>
          <w:i w:val="0"/>
          <w:color w:val="24364B"/>
          <w:sz w:val="20"/>
        </w:rPr>
        <w:t>Q_Na,usable 为可用于可逆循环的钠库存，单位 Ah；Q_cathode 为正极初始可释放钠容量；Q_irrev,anode 为负极首圈不可逆消耗；Q_side 为其他副反应消耗。</w:t>
      </w:r>
    </w:p>
    <w:p>
      <w:pPr>
        <w:pStyle w:val="Heading1"/>
        <w:keepNext/>
        <w:keepLines/>
      </w:pPr>
      <w:r>
        <w:t>9 电解液与界面不能照搬锂离子配方</w:t>
      </w:r>
    </w:p>
    <w:p>
      <w:pPr>
        <w:spacing w:after="120" w:line="300" w:lineRule="auto"/>
      </w:pPr>
      <w:r>
        <w:rPr>
          <w:rFonts w:ascii="Microsoft YaHei" w:hAnsi="Microsoft YaHei" w:eastAsia="Microsoft YaHei"/>
          <w:b w:val="0"/>
          <w:i w:val="0"/>
          <w:color w:val="24364B"/>
          <w:sz w:val="22"/>
        </w:rPr>
        <w:t>钠盐可选 NaPF6、NaFSI 等，碳酸酯和醚类溶剂的溶剂化及界面行为也不同。适用于锂石墨的成膜添加剂不一定能在硬碳和钠正极上形成相同 SEI/CEI。</w:t>
      </w:r>
    </w:p>
    <w:p>
      <w:pPr>
        <w:spacing w:after="120" w:line="300" w:lineRule="auto"/>
      </w:pPr>
      <w:r>
        <w:rPr>
          <w:rFonts w:ascii="Microsoft YaHei" w:hAnsi="Microsoft YaHei" w:eastAsia="Microsoft YaHei"/>
          <w:b w:val="0"/>
          <w:i w:val="0"/>
          <w:color w:val="24364B"/>
          <w:sz w:val="22"/>
        </w:rPr>
        <w:t>电解液需要同时兼容高电位正极和低电位硬碳，并控制铝集流体腐蚀、气体、低温和安全。盐浓度和阴离子参与溶剂化会改变界面产物。</w:t>
      </w:r>
    </w:p>
    <w:p>
      <w:pPr>
        <w:spacing w:after="120" w:line="300" w:lineRule="auto"/>
      </w:pPr>
      <w:r>
        <w:rPr>
          <w:rFonts w:ascii="Microsoft YaHei" w:hAnsi="Microsoft YaHei" w:eastAsia="Microsoft YaHei"/>
          <w:b w:val="0"/>
          <w:i w:val="0"/>
          <w:color w:val="24364B"/>
          <w:sz w:val="22"/>
        </w:rPr>
        <w:t>DOE 2021 年钠离子电解液与界面项目强调高能量体系中稳定两极界面的必要性。[5] 从实验室到量产还需验证润湿、干燥、注液和化成窗口。</w:t>
      </w:r>
    </w:p>
    <w:p>
      <w:pPr>
        <w:spacing w:before="60" w:after="60"/>
        <w:jc w:val="center"/>
      </w:pPr>
      <m:oMathPara>
        <m:oMath>
          <m:r>
            <m:t>η = V_operating − V_equilibrium</m:t>
          </m:r>
        </m:oMath>
      </m:oMathPara>
    </w:p>
    <w:p>
      <w:pPr>
        <w:spacing w:after="120" w:line="300" w:lineRule="auto"/>
      </w:pPr>
      <w:r>
        <w:rPr>
          <w:rFonts w:ascii="Microsoft YaHei" w:hAnsi="Microsoft YaHei" w:eastAsia="Microsoft YaHei"/>
          <w:b/>
          <w:i w:val="0"/>
          <w:color w:val="17365D"/>
          <w:sz w:val="20"/>
        </w:rPr>
        <w:t xml:space="preserve">变量与单位  </w:t>
      </w:r>
      <w:r>
        <w:rPr>
          <w:rFonts w:ascii="Microsoft YaHei" w:hAnsi="Microsoft YaHei" w:eastAsia="Microsoft YaHei"/>
          <w:b w:val="0"/>
          <w:i w:val="0"/>
          <w:color w:val="24364B"/>
          <w:sz w:val="20"/>
        </w:rPr>
        <w:t>η 为过电位，单位 V；V_operating 为负载下电位；V_equilibrium 为平衡电位。电解液电阻、去溶剂化、界面膜和固相扩散都会贡献总过电位。</w:t>
      </w:r>
    </w:p>
    <w:tbl>
      <w:tblPr>
        <w:tblW w:type="auto" w:w="0"/>
        <w:jc w:val="center"/>
        <w:tblLayout w:type="fixed"/>
        <w:tblLook w:firstColumn="1" w:firstRow="1" w:lastColumn="0" w:lastRow="0" w:noHBand="0" w:noVBand="1" w:val="04A0"/>
        <w:tblBorders>
          <w:top w:val="single" w:sz="6" w:color="D9D9D9" w:space="0"/>
          <w:left w:val="single" w:sz="6" w:color="D9D9D9" w:space="0"/>
          <w:bottom w:val="single" w:sz="6" w:color="D9D9D9" w:space="0"/>
          <w:right w:val="single" w:sz="6" w:color="D9D9D9" w:space="0"/>
          <w:insideH w:val="single" w:sz="6" w:color="D9D9D9" w:space="0"/>
          <w:insideV w:val="single" w:sz="6" w:color="D9D9D9" w:space="0"/>
        </w:tblBorders>
      </w:tblPr>
      <w:tblGrid>
        <w:gridCol w:w="1550"/>
        <w:gridCol w:w="2600"/>
        <w:gridCol w:w="3000"/>
        <w:gridCol w:w="2210"/>
      </w:tblGrid>
      <w:tr>
        <w:trPr>
          <w:tblHeader w:val="true"/>
        </w:trPr>
        <w:tc>
          <w:tcPr>
            <w:tcW w:type="dxa" w:w="1550"/>
            <w:shd w:fill="17365D"/>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FFFFFF"/>
                <w:sz w:val="19"/>
              </w:rPr>
              <w:t>判断层级</w:t>
            </w:r>
          </w:p>
        </w:tc>
        <w:tc>
          <w:tcPr>
            <w:tcW w:type="dxa" w:w="2600"/>
            <w:shd w:fill="17365D"/>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i w:val="0"/>
                <w:color w:val="FFFFFF"/>
                <w:sz w:val="19"/>
              </w:rPr>
              <w:t>必须回答</w:t>
            </w:r>
          </w:p>
        </w:tc>
        <w:tc>
          <w:tcPr>
            <w:tcW w:type="dxa" w:w="3000"/>
            <w:shd w:fill="17365D"/>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i w:val="0"/>
                <w:color w:val="FFFFFF"/>
                <w:sz w:val="19"/>
              </w:rPr>
              <w:t>最低证据</w:t>
            </w:r>
          </w:p>
        </w:tc>
        <w:tc>
          <w:tcPr>
            <w:tcW w:type="dxa" w:w="2210"/>
            <w:shd w:fill="17365D"/>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i w:val="0"/>
                <w:color w:val="FFFFFF"/>
                <w:sz w:val="19"/>
              </w:rPr>
              <w:t>未满足时行动</w:t>
            </w:r>
          </w:p>
        </w:tc>
      </w:tr>
      <w:tr>
        <w:tc>
          <w:tcPr>
            <w:tcW w:type="dxa" w:w="1550"/>
            <w:shd w:fill="FFFFFF"/>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现象</w:t>
            </w:r>
          </w:p>
        </w:tc>
        <w:tc>
          <w:tcPr>
            <w:tcW w:type="dxa" w:w="26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观察是否真实且可重复</w:t>
            </w:r>
          </w:p>
        </w:tc>
        <w:tc>
          <w:tcPr>
            <w:tcW w:type="dxa" w:w="30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校准样 重复测量 原始记录</w:t>
            </w:r>
          </w:p>
        </w:tc>
        <w:tc>
          <w:tcPr>
            <w:tcW w:type="dxa" w:w="221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冻结结论并复核测量</w:t>
            </w:r>
          </w:p>
        </w:tc>
      </w:tr>
      <w:tr>
        <w:tc>
          <w:tcPr>
            <w:tcW w:type="dxa" w:w="1550"/>
            <w:shd w:fill="F2F5F8"/>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关联</w:t>
            </w:r>
          </w:p>
        </w:tc>
        <w:tc>
          <w:tcPr>
            <w:tcW w:type="dxa" w:w="260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异常与哪些谱系因素同现</w:t>
            </w:r>
          </w:p>
        </w:tc>
        <w:tc>
          <w:tcPr>
            <w:tcW w:type="dxa" w:w="300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分层数据 时间与空间映射</w:t>
            </w:r>
          </w:p>
        </w:tc>
        <w:tc>
          <w:tcPr>
            <w:tcW w:type="dxa" w:w="221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扩大采样并保留竞争假设</w:t>
            </w:r>
          </w:p>
        </w:tc>
      </w:tr>
      <w:tr>
        <w:tc>
          <w:tcPr>
            <w:tcW w:type="dxa" w:w="1550"/>
            <w:shd w:fill="FFFFFF"/>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机理</w:t>
            </w:r>
          </w:p>
        </w:tc>
        <w:tc>
          <w:tcPr>
            <w:tcW w:type="dxa" w:w="26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该因素为何造成该结果</w:t>
            </w:r>
          </w:p>
        </w:tc>
        <w:tc>
          <w:tcPr>
            <w:tcW w:type="dxa" w:w="30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物理模型 多方法表征</w:t>
            </w:r>
          </w:p>
        </w:tc>
        <w:tc>
          <w:tcPr>
            <w:tcW w:type="dxa" w:w="221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设计能区分假设的试验</w:t>
            </w:r>
          </w:p>
        </w:tc>
      </w:tr>
      <w:tr>
        <w:tc>
          <w:tcPr>
            <w:tcW w:type="dxa" w:w="1550"/>
            <w:shd w:fill="F2F5F8"/>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根因</w:t>
            </w:r>
          </w:p>
        </w:tc>
        <w:tc>
          <w:tcPr>
            <w:tcW w:type="dxa" w:w="260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改变因素能否消除或复现</w:t>
            </w:r>
          </w:p>
        </w:tc>
        <w:tc>
          <w:tcPr>
            <w:tcW w:type="dxa" w:w="300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对照 干预 反证 连续验证</w:t>
            </w:r>
          </w:p>
        </w:tc>
        <w:tc>
          <w:tcPr>
            <w:tcW w:type="dxa" w:w="2210"/>
            <w:shd w:fill="F2F5F8"/>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不得关闭或缩小隔离</w:t>
            </w:r>
          </w:p>
        </w:tc>
      </w:tr>
      <w:tr>
        <w:tc>
          <w:tcPr>
            <w:tcW w:type="dxa" w:w="1550"/>
            <w:shd w:fill="FFFFFF"/>
            <w:tcMar>
              <w:top w:w="100" w:type="dxa"/>
              <w:start w:w="100" w:type="dxa"/>
              <w:bottom w:w="100" w:type="dxa"/>
              <w:end w:w="100" w:type="dxa"/>
            </w:tcMar>
            <w:vAlign w:val="center"/>
          </w:tcPr>
          <w:p>
            <w:pPr>
              <w:spacing w:before="0" w:after="0" w:line="259" w:lineRule="auto"/>
              <w:jc w:val="center"/>
            </w:pPr>
            <w:r>
              <w:rPr>
                <w:rFonts w:ascii="Microsoft YaHei" w:hAnsi="Microsoft YaHei" w:eastAsia="Microsoft YaHei"/>
                <w:b/>
                <w:i w:val="0"/>
                <w:color w:val="24364B"/>
                <w:sz w:val="18"/>
              </w:rPr>
              <w:t>控制</w:t>
            </w:r>
          </w:p>
        </w:tc>
        <w:tc>
          <w:tcPr>
            <w:tcW w:type="dxa" w:w="26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如何防止再发生和逃逸</w:t>
            </w:r>
          </w:p>
        </w:tc>
        <w:tc>
          <w:tcPr>
            <w:tcW w:type="dxa" w:w="300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控制计划 检出能力 反应记录</w:t>
            </w:r>
          </w:p>
        </w:tc>
        <w:tc>
          <w:tcPr>
            <w:tcW w:type="dxa" w:w="2210"/>
            <w:shd w:fill="FFFFFF"/>
            <w:tcMar>
              <w:top w:w="100" w:type="dxa"/>
              <w:start w:w="100" w:type="dxa"/>
              <w:bottom w:w="100" w:type="dxa"/>
              <w:end w:w="100" w:type="dxa"/>
            </w:tcMar>
            <w:vAlign w:val="center"/>
          </w:tcPr>
          <w:p>
            <w:pPr>
              <w:spacing w:before="0" w:after="0" w:line="259" w:lineRule="auto"/>
              <w:jc w:val="left"/>
            </w:pPr>
            <w:r>
              <w:rPr>
                <w:rFonts w:ascii="Microsoft YaHei" w:hAnsi="Microsoft YaHei" w:eastAsia="Microsoft YaHei"/>
                <w:b w:val="0"/>
                <w:i w:val="0"/>
                <w:color w:val="24364B"/>
                <w:sz w:val="18"/>
              </w:rPr>
              <w:t>保持加严控制并升级</w:t>
            </w:r>
          </w:p>
        </w:tc>
      </w:tr>
    </w:tbl>
    <w:p>
      <w:pPr>
        <w:spacing w:after="40"/>
      </w:pPr>
    </w:p>
    <w:p>
      <w:pPr>
        <w:pStyle w:val="Heading1"/>
        <w:keepNext/>
        <w:keepLines/>
      </w:pPr>
      <w:r>
        <w:t>10 钠离子体系评审检查表</w:t>
      </w:r>
    </w:p>
    <w:p>
      <w:pPr>
        <w:spacing w:after="120" w:line="300" w:lineRule="auto"/>
      </w:pPr>
      <w:r>
        <w:rPr>
          <w:rFonts w:ascii="Microsoft YaHei" w:hAnsi="Microsoft YaHei" w:eastAsia="Microsoft YaHei"/>
          <w:b w:val="0"/>
          <w:i w:val="0"/>
          <w:color w:val="24364B"/>
          <w:sz w:val="22"/>
        </w:rPr>
        <w:t>体系评审应把材料的半电池数据转化为有限钠库存的全电芯表现，并明确应用场景的能量、功率、温度和寿命权重。</w:t>
      </w:r>
    </w:p>
    <w:p>
      <w:pPr>
        <w:spacing w:after="80" w:line="288" w:lineRule="auto"/>
        <w:numPr>
          <w:ilvl w:val="0"/>
          <w:numId w:val="22"/>
        </w:numPr>
      </w:pPr>
      <w:r>
        <w:rPr>
          <w:rFonts w:ascii="Microsoft YaHei" w:hAnsi="Microsoft YaHei" w:eastAsia="Microsoft YaHei"/>
          <w:b w:val="0"/>
          <w:i w:val="0"/>
          <w:color w:val="24364B"/>
          <w:sz w:val="21"/>
        </w:rPr>
        <w:t>明确正极家族、实际组成、相结构、缺陷、水分和压实，不用“钠离子”标签替代。</w:t>
      </w:r>
    </w:p>
    <w:p>
      <w:pPr>
        <w:spacing w:after="80" w:line="288" w:lineRule="auto"/>
        <w:numPr>
          <w:ilvl w:val="0"/>
          <w:numId w:val="22"/>
        </w:numPr>
      </w:pPr>
      <w:r>
        <w:rPr>
          <w:rFonts w:ascii="Microsoft YaHei" w:hAnsi="Microsoft YaHei" w:eastAsia="Microsoft YaHei"/>
          <w:b w:val="0"/>
          <w:i w:val="0"/>
          <w:color w:val="24364B"/>
          <w:sz w:val="21"/>
        </w:rPr>
        <w:t>报告硬碳前驱体、碳化条件、层间距、孔结构、表面积、振实密度和首效。</w:t>
      </w:r>
    </w:p>
    <w:p>
      <w:pPr>
        <w:spacing w:after="80" w:line="288" w:lineRule="auto"/>
        <w:numPr>
          <w:ilvl w:val="0"/>
          <w:numId w:val="22"/>
        </w:numPr>
      </w:pPr>
      <w:r>
        <w:rPr>
          <w:rFonts w:ascii="Microsoft YaHei" w:hAnsi="Microsoft YaHei" w:eastAsia="Microsoft YaHei"/>
          <w:b w:val="0"/>
          <w:i w:val="0"/>
          <w:color w:val="24364B"/>
          <w:sz w:val="21"/>
        </w:rPr>
        <w:t>在全电芯中闭合钠库存，验证 N/P、预钠量、化成和老化后的余量。</w:t>
      </w:r>
    </w:p>
    <w:p>
      <w:pPr>
        <w:spacing w:after="80" w:line="288" w:lineRule="auto"/>
        <w:numPr>
          <w:ilvl w:val="0"/>
          <w:numId w:val="22"/>
        </w:numPr>
      </w:pPr>
      <w:r>
        <w:rPr>
          <w:rFonts w:ascii="Microsoft YaHei" w:hAnsi="Microsoft YaHei" w:eastAsia="Microsoft YaHei"/>
          <w:b w:val="0"/>
          <w:i w:val="0"/>
          <w:color w:val="24364B"/>
          <w:sz w:val="21"/>
        </w:rPr>
        <w:t>在目标温度、倍率、截止电压和存储 SOC 下测试能量、功率、气体和安全。</w:t>
      </w:r>
    </w:p>
    <w:p>
      <w:pPr>
        <w:spacing w:after="80" w:line="288" w:lineRule="auto"/>
        <w:numPr>
          <w:ilvl w:val="0"/>
          <w:numId w:val="22"/>
        </w:numPr>
      </w:pPr>
      <w:r>
        <w:rPr>
          <w:rFonts w:ascii="Microsoft YaHei" w:hAnsi="Microsoft YaHei" w:eastAsia="Microsoft YaHei"/>
          <w:b w:val="0"/>
          <w:i w:val="0"/>
          <w:color w:val="24364B"/>
          <w:sz w:val="21"/>
        </w:rPr>
        <w:t>统一电芯和系统边界评估成本，纳入材料纯化、干燥、良率、设备和非活性质量。</w:t>
      </w:r>
    </w:p>
    <w:p>
      <w:pPr>
        <w:pStyle w:val="Heading1"/>
        <w:keepNext/>
        <w:keepLines/>
      </w:pPr>
      <w:r>
        <w:t>11 典型故障场景 半电池优秀但全电芯容量偏低</w:t>
      </w:r>
    </w:p>
    <w:p>
      <w:pPr>
        <w:spacing w:after="120" w:line="300" w:lineRule="auto"/>
      </w:pPr>
      <w:r>
        <w:rPr>
          <w:rFonts w:ascii="Microsoft YaHei" w:hAnsi="Microsoft YaHei" w:eastAsia="Microsoft YaHei"/>
          <w:b w:val="0"/>
          <w:i w:val="0"/>
          <w:color w:val="24364B"/>
          <w:sz w:val="22"/>
        </w:rPr>
        <w:t>某普鲁士蓝正极与硬碳分别在半电池中达到目标容量，但组装全电芯后首圈容量偏低且批次离散。团队最初怀疑正极失活，拆分测试后发现硬碳批次表面积较高、首效下降，同时正极结晶水波动增加了形成副反应。</w:t>
      </w:r>
    </w:p>
    <w:p>
      <w:pPr>
        <w:spacing w:after="120" w:line="300" w:lineRule="auto"/>
      </w:pPr>
      <w:r>
        <w:rPr>
          <w:rFonts w:ascii="Microsoft YaHei" w:hAnsi="Microsoft YaHei" w:eastAsia="Microsoft YaHei"/>
          <w:b w:val="0"/>
          <w:i w:val="0"/>
          <w:color w:val="24364B"/>
          <w:sz w:val="22"/>
        </w:rPr>
        <w:t>要关闭问题，必须同时做钠库存平衡、材料水分控制和全电芯形成验证，而不是单独提升正极过量。</w:t>
      </w:r>
    </w:p>
    <w:p>
      <w:pPr>
        <w:spacing w:after="80" w:line="288" w:lineRule="auto"/>
        <w:numPr>
          <w:ilvl w:val="0"/>
          <w:numId w:val="23"/>
        </w:numPr>
      </w:pPr>
      <w:r>
        <w:rPr>
          <w:rFonts w:ascii="Microsoft YaHei" w:hAnsi="Microsoft YaHei" w:eastAsia="Microsoft YaHei"/>
          <w:b w:val="0"/>
          <w:i w:val="0"/>
          <w:color w:val="24364B"/>
          <w:sz w:val="21"/>
        </w:rPr>
        <w:t>复核容量方向、截止电压、温度和称量口径，确保半电池与全电芯数据可比。</w:t>
      </w:r>
    </w:p>
    <w:p>
      <w:pPr>
        <w:spacing w:after="80" w:line="288" w:lineRule="auto"/>
        <w:numPr>
          <w:ilvl w:val="0"/>
          <w:numId w:val="23"/>
        </w:numPr>
      </w:pPr>
      <w:r>
        <w:rPr>
          <w:rFonts w:ascii="Microsoft YaHei" w:hAnsi="Microsoft YaHei" w:eastAsia="Microsoft YaHei"/>
          <w:b w:val="0"/>
          <w:i w:val="0"/>
          <w:color w:val="24364B"/>
          <w:sz w:val="21"/>
        </w:rPr>
        <w:t>按硬碳批次、正极水分与空位、N/P、注液量和化成通道建立钠库存表。</w:t>
      </w:r>
    </w:p>
    <w:p>
      <w:pPr>
        <w:spacing w:after="80" w:line="288" w:lineRule="auto"/>
        <w:numPr>
          <w:ilvl w:val="0"/>
          <w:numId w:val="23"/>
        </w:numPr>
      </w:pPr>
      <w:r>
        <w:rPr>
          <w:rFonts w:ascii="Microsoft YaHei" w:hAnsi="Microsoft YaHei" w:eastAsia="Microsoft YaHei"/>
          <w:b w:val="0"/>
          <w:i w:val="0"/>
          <w:color w:val="24364B"/>
          <w:sz w:val="21"/>
        </w:rPr>
        <w:t>测量两极首效、气体、EIS 和形成后可逆钠，区分 SEI、CEI 与结构不可逆容量。</w:t>
      </w:r>
    </w:p>
    <w:p>
      <w:pPr>
        <w:spacing w:after="80" w:line="288" w:lineRule="auto"/>
        <w:numPr>
          <w:ilvl w:val="0"/>
          <w:numId w:val="23"/>
        </w:numPr>
      </w:pPr>
      <w:r>
        <w:rPr>
          <w:rFonts w:ascii="Microsoft YaHei" w:hAnsi="Microsoft YaHei" w:eastAsia="Microsoft YaHei"/>
          <w:b w:val="0"/>
          <w:i w:val="0"/>
          <w:color w:val="24364B"/>
          <w:sz w:val="21"/>
        </w:rPr>
        <w:t>设置降低硬碳表面积、强化正极干燥和受控预钠化的对照，避免多个变量同时变化。</w:t>
      </w:r>
    </w:p>
    <w:p>
      <w:pPr>
        <w:spacing w:after="80" w:line="288" w:lineRule="auto"/>
        <w:numPr>
          <w:ilvl w:val="0"/>
          <w:numId w:val="23"/>
        </w:numPr>
      </w:pPr>
      <w:r>
        <w:rPr>
          <w:rFonts w:ascii="Microsoft YaHei" w:hAnsi="Microsoft YaHei" w:eastAsia="Microsoft YaHei"/>
          <w:b w:val="0"/>
          <w:i w:val="0"/>
          <w:color w:val="24364B"/>
          <w:sz w:val="21"/>
        </w:rPr>
        <w:t>在连续批次验证容量、平均电压、倍率、存储和安全，再冻结材料与形成窗口。</w:t>
      </w:r>
    </w:p>
    <w:p>
      <w:pPr>
        <w:spacing w:after="120" w:line="300" w:lineRule="auto"/>
      </w:pPr>
      <w:r>
        <w:rPr>
          <w:rFonts w:ascii="Microsoft YaHei" w:hAnsi="Microsoft YaHei" w:eastAsia="Microsoft YaHei"/>
          <w:b w:val="0"/>
          <w:i w:val="0"/>
          <w:color w:val="24364B"/>
          <w:sz w:val="22"/>
        </w:rPr>
        <w:t>钠全电芯容量首先受有限钠库存约束；半电池各自优秀并不保证两极匹配后仍能兑现。</w:t>
      </w:r>
    </w:p>
    <w:p>
      <w:pPr>
        <w:pStyle w:val="Heading1"/>
        <w:keepNext/>
        <w:keepLines/>
      </w:pPr>
      <w:r>
        <w:t>12 常见误区与本期小结</w:t>
      </w:r>
    </w:p>
    <w:p>
      <w:pPr>
        <w:spacing w:after="120" w:line="300" w:lineRule="auto"/>
      </w:pPr>
      <w:r>
        <w:rPr>
          <w:rFonts w:ascii="Microsoft YaHei" w:hAnsi="Microsoft YaHei" w:eastAsia="Microsoft YaHei"/>
          <w:b/>
          <w:i w:val="0"/>
          <w:color w:val="17365D"/>
          <w:sz w:val="22"/>
        </w:rPr>
        <w:t xml:space="preserve">误区 1  </w:t>
      </w:r>
      <w:r>
        <w:rPr>
          <w:rFonts w:ascii="Microsoft YaHei" w:hAnsi="Microsoft YaHei" w:eastAsia="Microsoft YaHei"/>
          <w:b w:val="0"/>
          <w:i w:val="0"/>
          <w:color w:val="24364B"/>
          <w:sz w:val="22"/>
        </w:rPr>
        <w:t>钠资源丰富就必然成本更低。制造规模、纯化、良率、硬碳和非活性部件同样决定成本。</w:t>
      </w:r>
    </w:p>
    <w:p>
      <w:pPr>
        <w:spacing w:after="120" w:line="300" w:lineRule="auto"/>
      </w:pPr>
      <w:r>
        <w:rPr>
          <w:rFonts w:ascii="Microsoft YaHei" w:hAnsi="Microsoft YaHei" w:eastAsia="Microsoft YaHei"/>
          <w:b/>
          <w:i w:val="0"/>
          <w:color w:val="17365D"/>
          <w:sz w:val="22"/>
        </w:rPr>
        <w:t xml:space="preserve">误区 2  </w:t>
      </w:r>
      <w:r>
        <w:rPr>
          <w:rFonts w:ascii="Microsoft YaHei" w:hAnsi="Microsoft YaHei" w:eastAsia="Microsoft YaHei"/>
          <w:b w:val="0"/>
          <w:i w:val="0"/>
          <w:color w:val="24364B"/>
          <w:sz w:val="22"/>
        </w:rPr>
        <w:t>钠离子只是把锂换成钠。离子尺寸、电位和宿主结构改变材料与界面选择。</w:t>
      </w:r>
    </w:p>
    <w:p>
      <w:pPr>
        <w:spacing w:after="120" w:line="300" w:lineRule="auto"/>
      </w:pPr>
      <w:r>
        <w:rPr>
          <w:rFonts w:ascii="Microsoft YaHei" w:hAnsi="Microsoft YaHei" w:eastAsia="Microsoft YaHei"/>
          <w:b/>
          <w:i w:val="0"/>
          <w:color w:val="17365D"/>
          <w:sz w:val="22"/>
        </w:rPr>
        <w:t xml:space="preserve">误区 3  </w:t>
      </w:r>
      <w:r>
        <w:rPr>
          <w:rFonts w:ascii="Microsoft YaHei" w:hAnsi="Microsoft YaHei" w:eastAsia="Microsoft YaHei"/>
          <w:b w:val="0"/>
          <w:i w:val="0"/>
          <w:color w:val="24364B"/>
          <w:sz w:val="22"/>
        </w:rPr>
        <w:t>普鲁士蓝开放框架就没有材料问题。空位、结晶水和低密度会限制寿命与体积能量。</w:t>
      </w:r>
    </w:p>
    <w:p>
      <w:pPr>
        <w:spacing w:after="120" w:line="300" w:lineRule="auto"/>
      </w:pPr>
      <w:r>
        <w:rPr>
          <w:rFonts w:ascii="Microsoft YaHei" w:hAnsi="Microsoft YaHei" w:eastAsia="Microsoft YaHei"/>
          <w:b/>
          <w:i w:val="0"/>
          <w:color w:val="17365D"/>
          <w:sz w:val="22"/>
        </w:rPr>
        <w:t xml:space="preserve">误区 4  </w:t>
      </w:r>
      <w:r>
        <w:rPr>
          <w:rFonts w:ascii="Microsoft YaHei" w:hAnsi="Microsoft YaHei" w:eastAsia="Microsoft YaHei"/>
          <w:b w:val="0"/>
          <w:i w:val="0"/>
          <w:color w:val="24364B"/>
          <w:sz w:val="22"/>
        </w:rPr>
        <w:t>硬碳孔越多容量越高越好。更高表面积可能增加 SEI 消耗并降低首效和密度。</w:t>
      </w:r>
    </w:p>
    <w:p>
      <w:pPr>
        <w:spacing w:after="120" w:line="300" w:lineRule="auto"/>
      </w:pPr>
      <w:r>
        <w:rPr>
          <w:rFonts w:ascii="Microsoft YaHei" w:hAnsi="Microsoft YaHei" w:eastAsia="Microsoft YaHei"/>
          <w:b/>
          <w:i w:val="0"/>
          <w:color w:val="17365D"/>
          <w:sz w:val="22"/>
        </w:rPr>
        <w:t xml:space="preserve">误区 5  </w:t>
      </w:r>
      <w:r>
        <w:rPr>
          <w:rFonts w:ascii="Microsoft YaHei" w:hAnsi="Microsoft YaHei" w:eastAsia="Microsoft YaHei"/>
          <w:b w:val="0"/>
          <w:i w:val="0"/>
          <w:color w:val="24364B"/>
          <w:sz w:val="22"/>
        </w:rPr>
        <w:t>半电池容量可以直接相加得到全电芯。有限钠库存、首效和 N/P 会改变可用容量。</w:t>
      </w:r>
    </w:p>
    <w:p>
      <w:pPr>
        <w:spacing w:after="120" w:line="300" w:lineRule="auto"/>
      </w:pPr>
      <w:r>
        <w:rPr>
          <w:rFonts w:ascii="Microsoft YaHei" w:hAnsi="Microsoft YaHei" w:eastAsia="Microsoft YaHei"/>
          <w:b/>
          <w:i w:val="0"/>
          <w:color w:val="17365D"/>
          <w:sz w:val="22"/>
        </w:rPr>
        <w:t xml:space="preserve">本期小结  </w:t>
      </w:r>
      <w:r>
        <w:rPr>
          <w:rFonts w:ascii="Microsoft YaHei" w:hAnsi="Microsoft YaHei" w:eastAsia="Microsoft YaHei"/>
          <w:b w:val="0"/>
          <w:i w:val="0"/>
          <w:color w:val="24364B"/>
          <w:sz w:val="22"/>
        </w:rPr>
        <w:t>钠离子体系的价值在于材料选择和资源路径的多样性，其边界来自电压、密度、正极结构、硬碳首效和电解液界面。应用判断必须回到全电芯与系统。</w:t>
      </w:r>
    </w:p>
    <w:p>
      <w:pPr>
        <w:pStyle w:val="Heading1"/>
        <w:keepNext/>
        <w:keepLines/>
      </w:pPr>
      <w:r>
        <w:t>13 思考题与简要答案</w:t>
      </w:r>
    </w:p>
    <w:p>
      <w:pPr>
        <w:keepNext/>
        <w:spacing w:before="100" w:after="60"/>
        <w:numPr>
          <w:ilvl w:val="0"/>
          <w:numId w:val="24"/>
        </w:numPr>
      </w:pPr>
      <w:r>
        <w:rPr>
          <w:rFonts w:ascii="Microsoft YaHei" w:hAnsi="Microsoft YaHei" w:eastAsia="Microsoft YaHei"/>
          <w:b/>
          <w:i w:val="0"/>
          <w:color w:val="17365D"/>
          <w:sz w:val="21"/>
        </w:rPr>
        <w:t>为什么钠离子通常不用传统石墨负极？</w:t>
      </w:r>
    </w:p>
    <w:p>
      <w:pPr>
        <w:spacing w:after="100"/>
        <w:ind w:left="360"/>
      </w:pPr>
      <w:r>
        <w:rPr>
          <w:rFonts w:ascii="Microsoft YaHei" w:hAnsi="Microsoft YaHei" w:eastAsia="Microsoft YaHei"/>
          <w:b/>
          <w:i w:val="0"/>
          <w:color w:val="2E7D4F"/>
          <w:sz w:val="21"/>
        </w:rPr>
        <w:t>答：</w:t>
      </w:r>
      <w:r>
        <w:rPr>
          <w:rFonts w:ascii="Microsoft YaHei" w:hAnsi="Microsoft YaHei" w:eastAsia="Microsoft YaHei"/>
          <w:b w:val="0"/>
          <w:i w:val="0"/>
          <w:color w:val="24364B"/>
          <w:sz w:val="21"/>
        </w:rPr>
        <w:t>Na+ 较大且在常规石墨中的热力学与结构适配较差，难以稳定可逆嵌入。</w:t>
      </w:r>
    </w:p>
    <w:p>
      <w:pPr>
        <w:keepNext/>
        <w:spacing w:before="100" w:after="60"/>
        <w:numPr>
          <w:ilvl w:val="0"/>
          <w:numId w:val="24"/>
        </w:numPr>
      </w:pPr>
      <w:r>
        <w:rPr>
          <w:rFonts w:ascii="Microsoft YaHei" w:hAnsi="Microsoft YaHei" w:eastAsia="Microsoft YaHei"/>
          <w:b/>
          <w:i w:val="0"/>
          <w:color w:val="17365D"/>
          <w:sz w:val="21"/>
        </w:rPr>
        <w:t>普鲁士蓝类似物为何关注结晶水？</w:t>
      </w:r>
    </w:p>
    <w:p>
      <w:pPr>
        <w:spacing w:after="100"/>
        <w:ind w:left="360"/>
      </w:pPr>
      <w:r>
        <w:rPr>
          <w:rFonts w:ascii="Microsoft YaHei" w:hAnsi="Microsoft YaHei" w:eastAsia="Microsoft YaHei"/>
          <w:b/>
          <w:i w:val="0"/>
          <w:color w:val="2E7D4F"/>
          <w:sz w:val="21"/>
        </w:rPr>
        <w:t>答：</w:t>
      </w:r>
      <w:r>
        <w:rPr>
          <w:rFonts w:ascii="Microsoft YaHei" w:hAnsi="Microsoft YaHei" w:eastAsia="Microsoft YaHei"/>
          <w:b w:val="0"/>
          <w:i w:val="0"/>
          <w:color w:val="24364B"/>
          <w:sz w:val="21"/>
        </w:rPr>
        <w:t>水会占据框架空隙、影响可用位点并参与电解液和界面副反应。</w:t>
      </w:r>
    </w:p>
    <w:p>
      <w:pPr>
        <w:keepNext/>
        <w:spacing w:before="100" w:after="60"/>
        <w:numPr>
          <w:ilvl w:val="0"/>
          <w:numId w:val="24"/>
        </w:numPr>
      </w:pPr>
      <w:r>
        <w:rPr>
          <w:rFonts w:ascii="Microsoft YaHei" w:hAnsi="Microsoft YaHei" w:eastAsia="Microsoft YaHei"/>
          <w:b/>
          <w:i w:val="0"/>
          <w:color w:val="17365D"/>
          <w:sz w:val="21"/>
        </w:rPr>
        <w:t>硬碳首效为何直接影响全电芯容量？</w:t>
      </w:r>
    </w:p>
    <w:p>
      <w:pPr>
        <w:spacing w:after="100"/>
        <w:ind w:left="360"/>
      </w:pPr>
      <w:r>
        <w:rPr>
          <w:rFonts w:ascii="Microsoft YaHei" w:hAnsi="Microsoft YaHei" w:eastAsia="Microsoft YaHei"/>
          <w:b/>
          <w:i w:val="0"/>
          <w:color w:val="2E7D4F"/>
          <w:sz w:val="21"/>
        </w:rPr>
        <w:t>答：</w:t>
      </w:r>
      <w:r>
        <w:rPr>
          <w:rFonts w:ascii="Microsoft YaHei" w:hAnsi="Microsoft YaHei" w:eastAsia="Microsoft YaHei"/>
          <w:b w:val="0"/>
          <w:i w:val="0"/>
          <w:color w:val="24364B"/>
          <w:sz w:val="21"/>
        </w:rPr>
        <w:t>首圈不可逆反应消耗来自正极的有限钠库存。</w:t>
      </w:r>
    </w:p>
    <w:p>
      <w:pPr>
        <w:keepNext/>
        <w:spacing w:before="100" w:after="60"/>
        <w:numPr>
          <w:ilvl w:val="0"/>
          <w:numId w:val="24"/>
        </w:numPr>
      </w:pPr>
      <w:r>
        <w:rPr>
          <w:rFonts w:ascii="Microsoft YaHei" w:hAnsi="Microsoft YaHei" w:eastAsia="Microsoft YaHei"/>
          <w:b/>
          <w:i w:val="0"/>
          <w:color w:val="17365D"/>
          <w:sz w:val="21"/>
        </w:rPr>
        <w:t>预钠化的主要工程风险是什么？</w:t>
      </w:r>
    </w:p>
    <w:p>
      <w:pPr>
        <w:spacing w:after="100"/>
        <w:ind w:left="360"/>
      </w:pPr>
      <w:r>
        <w:rPr>
          <w:rFonts w:ascii="Microsoft YaHei" w:hAnsi="Microsoft YaHei" w:eastAsia="Microsoft YaHei"/>
          <w:b/>
          <w:i w:val="0"/>
          <w:color w:val="2E7D4F"/>
          <w:sz w:val="21"/>
        </w:rPr>
        <w:t>答：</w:t>
      </w:r>
      <w:r>
        <w:rPr>
          <w:rFonts w:ascii="Microsoft YaHei" w:hAnsi="Microsoft YaHei" w:eastAsia="Microsoft YaHei"/>
          <w:b w:val="0"/>
          <w:i w:val="0"/>
          <w:color w:val="24364B"/>
          <w:sz w:val="21"/>
        </w:rPr>
        <w:t>计量和均匀性不足可能导致局部钠过量、析钠和制造安全问题。</w:t>
      </w:r>
    </w:p>
    <w:p>
      <w:pPr>
        <w:keepNext/>
        <w:spacing w:before="100" w:after="60"/>
        <w:numPr>
          <w:ilvl w:val="0"/>
          <w:numId w:val="24"/>
        </w:numPr>
      </w:pPr>
      <w:r>
        <w:rPr>
          <w:rFonts w:ascii="Microsoft YaHei" w:hAnsi="Microsoft YaHei" w:eastAsia="Microsoft YaHei"/>
          <w:b/>
          <w:i w:val="0"/>
          <w:color w:val="17365D"/>
          <w:sz w:val="21"/>
        </w:rPr>
        <w:t>钠离子适用场景为何不能只按 Wh/kg 判断？</w:t>
      </w:r>
    </w:p>
    <w:p>
      <w:pPr>
        <w:spacing w:after="100"/>
        <w:ind w:left="360"/>
      </w:pPr>
      <w:r>
        <w:rPr>
          <w:rFonts w:ascii="Microsoft YaHei" w:hAnsi="Microsoft YaHei" w:eastAsia="Microsoft YaHei"/>
          <w:b/>
          <w:i w:val="0"/>
          <w:color w:val="2E7D4F"/>
          <w:sz w:val="21"/>
        </w:rPr>
        <w:t>答：</w:t>
      </w:r>
      <w:r>
        <w:rPr>
          <w:rFonts w:ascii="Microsoft YaHei" w:hAnsi="Microsoft YaHei" w:eastAsia="Microsoft YaHei"/>
          <w:b w:val="0"/>
          <w:i w:val="0"/>
          <w:color w:val="24364B"/>
          <w:sz w:val="21"/>
        </w:rPr>
        <w:t>资源、成本、功率、低温、寿命、系统体积和制造兼容同样重要。</w:t>
      </w:r>
    </w:p>
    <w:p>
      <w:pPr>
        <w:pStyle w:val="Heading1"/>
        <w:keepNext/>
        <w:keepLines/>
      </w:pPr>
      <w:r>
        <w:t>14 下一期预告</w:t>
      </w:r>
    </w:p>
    <w:p>
      <w:pPr>
        <w:spacing w:after="120" w:line="300" w:lineRule="auto"/>
      </w:pPr>
      <w:r>
        <w:rPr>
          <w:rFonts w:ascii="Microsoft YaHei" w:hAnsi="Microsoft YaHei" w:eastAsia="Microsoft YaHei"/>
          <w:b/>
          <w:i w:val="0"/>
          <w:color w:val="17365D"/>
          <w:sz w:val="22"/>
        </w:rPr>
        <w:t xml:space="preserve">第 16 期  </w:t>
      </w:r>
      <w:r>
        <w:rPr>
          <w:rFonts w:ascii="Microsoft YaHei" w:hAnsi="Microsoft YaHei" w:eastAsia="Microsoft YaHei"/>
          <w:b w:val="0"/>
          <w:i w:val="0"/>
          <w:color w:val="24364B"/>
          <w:sz w:val="22"/>
        </w:rPr>
        <w:t>固态电池材料与界面挑战  将比较硫化物、氧化物和聚合物固态电解质，并分析界面接触、空间电荷、枝晶和堆叠压力。</w:t>
      </w:r>
    </w:p>
    <w:p>
      <w:pPr>
        <w:pStyle w:val="Heading1"/>
        <w:keepNext/>
        <w:keepLines/>
      </w:pPr>
      <w:r>
        <w:t>附录 来源与延伸阅读</w:t>
      </w:r>
    </w:p>
    <w:p>
      <w:pPr>
        <w:spacing w:after="100" w:line="269" w:lineRule="auto"/>
        <w:ind w:left="259" w:hanging="259"/>
      </w:pPr>
      <w:r>
        <w:rPr>
          <w:rFonts w:ascii="Microsoft YaHei" w:hAnsi="Microsoft YaHei" w:eastAsia="Microsoft YaHei"/>
          <w:b w:val="0"/>
          <w:i w:val="0"/>
          <w:color w:val="24364B"/>
          <w:sz w:val="17"/>
        </w:rPr>
        <w:t>[1] U.S. Department of Energy. Sodium Batteries Technology Strategy Assessment, DOE/OE-0035, July 2023. https://www.energy.gov/sites/default/files/2023-09/6_Technology%20Strategy%20Assessment%20-%20%236%20Sodium%20Batteries_508.pdf （访问日期：2026-09-15）。</w:t>
      </w:r>
    </w:p>
    <w:p>
      <w:pPr>
        <w:spacing w:after="100" w:line="269" w:lineRule="auto"/>
        <w:ind w:left="259" w:hanging="259"/>
      </w:pPr>
      <w:r>
        <w:rPr>
          <w:rFonts w:ascii="Microsoft YaHei" w:hAnsi="Microsoft YaHei" w:eastAsia="Microsoft YaHei"/>
          <w:b w:val="0"/>
          <w:i w:val="0"/>
          <w:color w:val="24364B"/>
          <w:sz w:val="17"/>
        </w:rPr>
        <w:t>[2] Xu, G. L. et al. Native lattice strain induced structural earthquake in sodium layered oxide cathodes. Nature Communications 13, 436 (2022). DOE research highlight: https://www.energy.gov/science/bes/articles/scientists-find-potential-key-longer-lasting-sodium-batteries-electric （访问日期：2026-09-15）。</w:t>
      </w:r>
    </w:p>
    <w:p>
      <w:pPr>
        <w:spacing w:after="100" w:line="269" w:lineRule="auto"/>
        <w:ind w:left="259" w:hanging="259"/>
      </w:pPr>
      <w:r>
        <w:rPr>
          <w:rFonts w:ascii="Microsoft YaHei" w:hAnsi="Microsoft YaHei" w:eastAsia="Microsoft YaHei"/>
          <w:b w:val="0"/>
          <w:i w:val="0"/>
          <w:color w:val="24364B"/>
          <w:sz w:val="17"/>
        </w:rPr>
        <w:t>[3] Tailoring electrolyte solvation structure to enhance rate capability, cycle life, and safety in Prussian-blue-based sodium-ion battery. PNNL, 2026. https://www.pnnl.gov/publications/tailoring-electrolyte-solvation-structure-enhance-rate-capability-cycle-life-and （访问日期：2026-09-15）。</w:t>
      </w:r>
    </w:p>
    <w:p>
      <w:pPr>
        <w:spacing w:after="100" w:line="269" w:lineRule="auto"/>
        <w:ind w:left="259" w:hanging="259"/>
      </w:pPr>
      <w:r>
        <w:rPr>
          <w:rFonts w:ascii="Microsoft YaHei" w:hAnsi="Microsoft YaHei" w:eastAsia="Microsoft YaHei"/>
          <w:b w:val="0"/>
          <w:i w:val="0"/>
          <w:color w:val="24364B"/>
          <w:sz w:val="17"/>
        </w:rPr>
        <w:t>[4] U.S. Department of Energy. Platform Technologies for Transformative Battery Manufacturing funding selections, 2024. https://www.energy.gov/cmei/ammto/funding-selections-platform-technologies-transformative-battery-manufacturing （访问日期：2026-09-15）。</w:t>
      </w:r>
    </w:p>
    <w:p>
      <w:pPr>
        <w:spacing w:after="100" w:line="269" w:lineRule="auto"/>
        <w:ind w:left="259" w:hanging="259"/>
      </w:pPr>
      <w:r>
        <w:rPr>
          <w:rFonts w:ascii="Microsoft YaHei" w:hAnsi="Microsoft YaHei" w:eastAsia="Microsoft YaHei"/>
          <w:b w:val="0"/>
          <w:i w:val="0"/>
          <w:color w:val="24364B"/>
          <w:sz w:val="17"/>
        </w:rPr>
        <w:t>[5] U.S. Department of Energy. Electrolytes and Interfaces for Stable High Energy Sodium-Ion Batteries, 2021 Annual Merit Review. https://www.energy.gov/cmei/vehicles/articles/electrolytes-and-interfaces-stable-high-energy-sodium-ion-batteries-1 （访问日期：2026-09-15）。</w:t>
      </w:r>
    </w:p>
    <w:sectPr w:rsidR="00FC693F" w:rsidRPr="0006063C" w:rsidSect="00034616">
      <w:headerReference w:type="default" r:id="rId9"/>
      <w:footerReference w:type="default" r:id="rId10"/>
      <w:pgSz w:w="12240" w:h="15840"/>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left"/>
      </w:tabs>
    </w:pPr>
    <w:r>
      <w:rPr>
        <w:rFonts w:ascii="Microsoft YaHei" w:hAnsi="Microsoft YaHei" w:eastAsia="Microsoft YaHei"/>
        <w:b w:val="0"/>
        <w:i w:val="0"/>
        <w:color w:val="667085"/>
        <w:sz w:val="17"/>
      </w:rPr>
      <w:t>生成日期：2026-09-15</w:t>
    </w:r>
    <w:r>
      <w:tab/>
    </w:r>
    <w:r>
      <w:rPr>
        <w:rFonts w:ascii="Microsoft YaHei" w:hAnsi="Microsoft YaHei" w:eastAsia="Microsoft YaHei"/>
        <w:b w:val="0"/>
        <w:i w:val="0"/>
        <w:color w:val="667085"/>
        <w:sz w:val="17"/>
      </w:rPr>
      <w:t xml:space="preserve">第 </w:t>
    </w:r>
    <w:r>
      <w:rPr>
        <w:rFonts w:ascii="Microsoft YaHei" w:hAnsi="Microsoft YaHei" w:eastAsia="Microsoft YaHei"/>
        <w:b w:val="0"/>
        <w:i w:val="0"/>
        <w:color w:val="667085"/>
        <w:sz w:val="17"/>
      </w:rPr>
      <w:fldChar w:fldCharType="begin"/>
      <w:instrText xml:space="preserve"> PAGE </w:instrText>
      <w:fldChar w:fldCharType="separate"/>
      <w:t>1</w:t>
      <w:fldChar w:fldCharType="end"/>
    </w:r>
    <w:r>
      <w:rPr>
        <w:rFonts w:ascii="Microsoft YaHei" w:hAnsi="Microsoft YaHei" w:eastAsia="Microsoft YaHei"/>
        <w:b w:val="0"/>
        <w:i w:val="0"/>
        <w:color w:val="667085"/>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Microsoft YaHei" w:hAnsi="Microsoft YaHei" w:eastAsia="Microsoft YaHei"/>
        <w:b/>
        <w:i w:val="0"/>
        <w:color w:val="000000"/>
        <w:sz w:val="17"/>
      </w:rPr>
      <w:t>动力电池深度学习  |  第 15 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suff w:val="tab"/>
      <w:pPr>
        <w:tabs>
          <w:tab w:val="num" w:pos="540"/>
        </w:tabs>
        <w:ind w:left="540" w:hanging="270"/>
        <w:spacing w:after="80" w:line="300" w:lineRule="auto"/>
      </w:pPr>
    </w:lvl>
  </w:abstractNum>
  <w:abstractNum w:abstractNumId="10">
    <w:multiLevelType w:val="singleLevel"/>
    <w:lvl w:ilvl="0">
      <w:start w:val="1"/>
      <w:numFmt w:val="decimal"/>
      <w:lvlText w:val="%1."/>
      <w:suff w:val="tab"/>
      <w:pPr>
        <w:tabs>
          <w:tab w:val="num" w:pos="540"/>
        </w:tabs>
        <w:ind w:left="540" w:hanging="270"/>
        <w:spacing w:after="80" w:line="300" w:lineRule="auto"/>
      </w:pPr>
    </w:lvl>
  </w:abstractNum>
  <w:abstractNum w:abstractNumId="11">
    <w:multiLevelType w:val="singleLevel"/>
    <w:lvl w:ilvl="0">
      <w:start w:val="1"/>
      <w:numFmt w:val="decimal"/>
      <w:lvlText w:val="%1."/>
      <w:suff w:val="tab"/>
      <w:pPr>
        <w:tabs>
          <w:tab w:val="num" w:pos="540"/>
        </w:tabs>
        <w:ind w:left="540" w:hanging="270"/>
        <w:spacing w:after="80" w:line="30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abstractNum w:abstractNumId="12">
    <w:nsid w:val="0000000C"/>
    <w:tmpl w:val="A5A5000C"/>
    <w:multiLevelType w:val="singleLevel"/>
    <w:lvl w:ilvl="0">
      <w:start w:val="1"/>
      <w:numFmt w:val="decimal"/>
      <w:lvlText w:val="%1."/>
      <w:suff w:val="tab"/>
      <w:pPr>
        <w:tabs>
          <w:tab w:val="num" w:pos="540"/>
        </w:tabs>
        <w:ind w:left="540" w:hanging="300"/>
      </w:pPr>
    </w:lvl>
  </w:abstractNum>
  <w:num w:numId="13">
    <w:abstractNumId w:val="12"/>
    <w:lvlOverride w:ilvl="0">
      <w:startOverride w:val="1"/>
    </w:lvlOverride>
  </w:num>
  <w:abstractNum w:abstractNumId="13">
    <w:nsid w:val="0000000D"/>
    <w:tmpl w:val="A5A5000D"/>
    <w:multiLevelType w:val="singleLevel"/>
    <w:lvl w:ilvl="0">
      <w:start w:val="1"/>
      <w:numFmt w:val="decimal"/>
      <w:lvlText w:val="%1."/>
      <w:suff w:val="tab"/>
      <w:pPr>
        <w:tabs>
          <w:tab w:val="num" w:pos="540"/>
        </w:tabs>
        <w:ind w:left="540" w:hanging="300"/>
      </w:pPr>
    </w:lvl>
  </w:abstractNum>
  <w:num w:numId="14">
    <w:abstractNumId w:val="13"/>
    <w:lvlOverride w:ilvl="0">
      <w:startOverride w:val="1"/>
    </w:lvlOverride>
  </w:num>
  <w:abstractNum w:abstractNumId="14">
    <w:nsid w:val="0000000E"/>
    <w:tmpl w:val="A5A5000E"/>
    <w:multiLevelType w:val="singleLevel"/>
    <w:lvl w:ilvl="0">
      <w:start w:val="1"/>
      <w:numFmt w:val="decimal"/>
      <w:lvlText w:val="%1."/>
      <w:suff w:val="tab"/>
      <w:pPr>
        <w:tabs>
          <w:tab w:val="num" w:pos="540"/>
        </w:tabs>
        <w:ind w:left="540" w:hanging="300"/>
      </w:pPr>
    </w:lvl>
  </w:abstractNum>
  <w:num w:numId="15">
    <w:abstractNumId w:val="14"/>
    <w:lvlOverride w:ilvl="0">
      <w:startOverride w:val="1"/>
    </w:lvlOverride>
  </w:num>
  <w:num w:numId="16">
    <w:abstractNumId w:val="12"/>
    <w:lvlOverride w:ilvl="0">
      <w:startOverride w:val="1"/>
    </w:lvlOverride>
  </w:num>
  <w:num w:numId="17">
    <w:abstractNumId w:val="13"/>
    <w:lvlOverride w:ilvl="0">
      <w:startOverride w:val="1"/>
    </w:lvlOverride>
  </w:num>
  <w:num w:numId="18">
    <w:abstractNumId w:val="13"/>
    <w:lvlOverride w:ilvl="0">
      <w:startOverride w:val="1"/>
    </w:lvlOverride>
  </w:num>
  <w:num w:numId="19">
    <w:abstractNumId w:val="14"/>
    <w:lvlOverride w:ilvl="0">
      <w:startOverride w:val="1"/>
    </w:lvlOverride>
  </w:num>
  <w:abstractNum w:abstractNumId="15">
    <w:nsid w:val="0000000F"/>
    <w:tmpl w:val="B6B6000F"/>
    <w:multiLevelType w:val="singleLevel"/>
    <w:lvl w:ilvl="0">
      <w:start w:val="1"/>
      <w:numFmt w:val="decimal"/>
      <w:lvlText w:val="%1."/>
      <w:suff w:val="tab"/>
      <w:pPr>
        <w:tabs>
          <w:tab w:val="num" w:pos="540"/>
        </w:tabs>
        <w:ind w:left="540" w:hanging="300"/>
      </w:pPr>
    </w:lvl>
  </w:abstractNum>
  <w:num w:numId="20">
    <w:abstractNumId w:val="15"/>
  </w:num>
  <w:num w:numId="21">
    <w:abstractNumId w:val="15"/>
    <w:lvlOverride w:ilvl="0">
      <w:startOverride w:val="1"/>
    </w:lvlOverride>
  </w:num>
  <w:num w:numId="22">
    <w:abstractNumId w:val="15"/>
    <w:lvlOverride w:ilvl="0">
      <w:startOverride w:val="1"/>
    </w:lvlOverride>
  </w:num>
  <w:num w:numId="23">
    <w:abstractNumId w:val="15"/>
    <w:lvlOverride w:ilvl="0">
      <w:startOverride w:val="1"/>
    </w:lvlOverride>
  </w:num>
  <w:num w:numId="24">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Microsoft YaHei" w:hAnsi="Microsoft YaHei" w:eastAsia="Microsoft YaHei"/>
      <w:color w:val="24364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Microsoft YaHei" w:hAnsi="Microsoft YaHei"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jc w:val="center"/>
    </w:pPr>
    <w:rPr>
      <w:rFonts w:asciiTheme="majorHAnsi" w:eastAsiaTheme="majorEastAsia" w:hAnsiTheme="majorHAnsi" w:cstheme="majorBidi" w:ascii="Microsoft YaHei" w:hAnsi="Microsoft YaHei" w:eastAsia="Microsoft YaHei"/>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钠离子电池体系与关键材料</dc:title>
  <dc:subject>动力电池深度学习第15期</dc:subject>
  <dc:creator>动力电池深度学习计划</dc:creator>
  <cp:keywords>动力电池, 锂离子电池, 制造质量, 工程学习</cp:keywords>
  <dc:description>generated by python-docx</dc:description>
  <cp:lastModifiedBy/>
  <cp:revision>1</cp:revision>
  <dcterms:created xsi:type="dcterms:W3CDTF">2013-12-23T23:15:00Z</dcterms:created>
  <dcterms:modified xsi:type="dcterms:W3CDTF">2013-12-23T23:15:00Z</dcterms:modified>
  <cp:category/>
</cp:coreProperties>
</file>