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pStyle w:val="Title"/>
        <w:jc w:val="center"/>
      </w:pPr>
      <w:r>
        <w:t>BMS 系统架构与功能安全</w:t>
      </w:r>
    </w:p>
    <w:p>
      <w:pPr>
        <w:jc w:val="center"/>
      </w:pPr>
      <w:r>
        <w:rPr>
          <w:b/>
          <w:color w:val="17365D"/>
          <w:sz w:val="30"/>
        </w:rPr>
        <w:t>从传感输入到保护执行的闭环设计</w:t>
      </w:r>
    </w:p>
    <w:p>
      <w:pPr>
        <w:jc w:val="center"/>
      </w:pPr>
      <w:r>
        <w:rPr>
          <w:color w:val="00A6A6"/>
          <w:sz w:val="22"/>
        </w:rPr>
        <w:t>第 20 期｜2026-09-20</w:t>
      </w:r>
    </w:p>
    <w:p/>
    <w:p>
      <w:pPr>
        <w:jc w:val="center"/>
      </w:pPr>
      <w:r>
        <w:rPr>
          <w:i/>
          <w:color w:val="24364B"/>
          <w:sz w:val="24"/>
        </w:rPr>
        <w:t>BMS 通过测量 估算 决策 执行和诊断管理电池边界 任何算法都必须落到可验证的安全动作</w:t>
      </w:r>
    </w:p>
    <w:p>
      <w:r>
        <w:br w:type="page"/>
      </w:r>
    </w:p>
    <w:p>
      <w:pPr>
        <w:pStyle w:val="Heading1"/>
      </w:pPr>
      <w:r>
        <w:t>学习目标</w:t>
      </w:r>
    </w:p>
    <w:p>
      <w:r>
        <w:t>完成本期后，你应能把本期概念转化为可计算的边界、可观察的信号和可执行的验证步骤。</w:t>
      </w:r>
    </w:p>
    <w:p>
      <w:pPr>
        <w:numPr>
          <w:ilvl w:val="0"/>
          <w:numId w:val="14"/>
        </w:numPr>
      </w:pPr>
      <w:r>
        <w:t>画出集中式 分布式和主从式 BMS 的信号与电源边界</w:t>
      </w:r>
    </w:p>
    <w:p>
      <w:pPr>
        <w:numPr>
          <w:ilvl w:val="0"/>
          <w:numId w:val="14"/>
        </w:numPr>
      </w:pPr>
      <w:r>
        <w:t>区分测量值 状态估计值 限值和执行命令</w:t>
      </w:r>
    </w:p>
    <w:p>
      <w:pPr>
        <w:numPr>
          <w:ilvl w:val="0"/>
          <w:numId w:val="14"/>
        </w:numPr>
      </w:pPr>
      <w:r>
        <w:t>理解接触器 预充 熔断 热管理和充电控制的协同</w:t>
      </w:r>
    </w:p>
    <w:p>
      <w:pPr>
        <w:numPr>
          <w:ilvl w:val="0"/>
          <w:numId w:val="14"/>
        </w:numPr>
      </w:pPr>
      <w:r>
        <w:t>用故障检测时间 覆盖率和安全状态评估保护链</w:t>
      </w:r>
    </w:p>
    <w:p>
      <w:pPr>
        <w:numPr>
          <w:ilvl w:val="0"/>
          <w:numId w:val="14"/>
        </w:numPr>
      </w:pPr>
      <w:r>
        <w:t>建立硬件 软件 通信与标定的分层验证方法</w:t>
      </w:r>
    </w:p>
    <w:p>
      <w:pPr>
        <w:pStyle w:val="Heading1"/>
      </w:pPr>
      <w:r>
        <w:t>系统总览</w:t>
      </w:r>
    </w:p>
    <w:p>
      <w:r>
        <w:t>BMS 直接测量的通常是单体电压 Pack 电流 温度和绝缘相关信号 SOC SOH 和可用功率则需要结合模型与历史数据估算</w:t>
      </w:r>
    </w:p>
    <w:p>
      <w:r>
        <w:t>完整闭环从传感开始 经滤波 状态估计和限值计算 生成接触器 充电 热管理和功率请求 最后用反馈确认动作是否生效</w:t>
      </w:r>
    </w:p>
    <w:p>
      <w:r>
        <w:t>Argonne 将 BMS 描述为测量电压 温度和电流并执行均衡与寿命安全管理的电子组件集合 这说明 BMS 不是单一算法 而是跨硬件 软件和系统接口的控制系统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3174187"/>
            <wp:docPr id="1" name="Picture 1" title="BMS 测量估算保护闭环" descr="传感 估算 决策 执行形成闭环 下方列出数据链 安全链和验证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y20_diagram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1741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 1  BMS 的核心是可观测 可决策 可执行 可确认的闭环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1512"/>
            <w:shd w:fill="17365D"/>
            <w:tcMar>
              <w:top w:w="115" w:type="dxa"/>
              <w:start w:w="145" w:type="dxa"/>
              <w:bottom w:w="115" w:type="dxa"/>
              <w:end w:w="145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</w:rPr>
              <w:t>层级</w:t>
            </w:r>
          </w:p>
        </w:tc>
        <w:tc>
          <w:tcPr>
            <w:tcW w:type="dxa" w:w="2376"/>
            <w:shd w:fill="17365D"/>
            <w:tcMar>
              <w:top w:w="115" w:type="dxa"/>
              <w:start w:w="145" w:type="dxa"/>
              <w:bottom w:w="115" w:type="dxa"/>
              <w:end w:w="145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</w:rPr>
              <w:t>典型组件</w:t>
            </w:r>
          </w:p>
        </w:tc>
        <w:tc>
          <w:tcPr>
            <w:tcW w:type="dxa" w:w="2880"/>
            <w:shd w:fill="17365D"/>
            <w:tcMar>
              <w:top w:w="115" w:type="dxa"/>
              <w:start w:w="145" w:type="dxa"/>
              <w:bottom w:w="115" w:type="dxa"/>
              <w:end w:w="145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</w:rPr>
              <w:t>职责</w:t>
            </w:r>
          </w:p>
        </w:tc>
        <w:tc>
          <w:tcPr>
            <w:tcW w:type="dxa" w:w="2376"/>
            <w:shd w:fill="17365D"/>
            <w:tcMar>
              <w:top w:w="115" w:type="dxa"/>
              <w:start w:w="145" w:type="dxa"/>
              <w:bottom w:w="115" w:type="dxa"/>
              <w:end w:w="145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</w:rPr>
              <w:t>主要接口</w:t>
            </w:r>
          </w:p>
        </w:tc>
      </w:tr>
      <w:tr>
        <w:trPr>
          <w:cantSplit/>
        </w:trPr>
        <w:tc>
          <w:tcPr>
            <w:tcW w:type="dxa" w:w="1512"/>
            <w:tcMar>
              <w:top w:w="115" w:type="dxa"/>
              <w:start w:w="145" w:type="dxa"/>
              <w:bottom w:w="115" w:type="dxa"/>
              <w:end w:w="145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color w:val="24364B"/>
                <w:sz w:val="18"/>
              </w:rPr>
              <w:t>采集单元</w:t>
            </w:r>
          </w:p>
        </w:tc>
        <w:tc>
          <w:tcPr>
            <w:tcW w:type="dxa" w:w="2376"/>
            <w:tcMar>
              <w:top w:w="115" w:type="dxa"/>
              <w:start w:w="145" w:type="dxa"/>
              <w:bottom w:w="115" w:type="dxa"/>
              <w:end w:w="145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color w:val="24364B"/>
                <w:sz w:val="18"/>
              </w:rPr>
              <w:t>AFE 温度采样 均衡开关</w:t>
            </w:r>
          </w:p>
        </w:tc>
        <w:tc>
          <w:tcPr>
            <w:tcW w:type="dxa" w:w="2880"/>
            <w:tcMar>
              <w:top w:w="115" w:type="dxa"/>
              <w:start w:w="145" w:type="dxa"/>
              <w:bottom w:w="115" w:type="dxa"/>
              <w:end w:w="145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color w:val="24364B"/>
                <w:sz w:val="18"/>
              </w:rPr>
              <w:t>测量单体与执行被动均衡</w:t>
            </w:r>
          </w:p>
        </w:tc>
        <w:tc>
          <w:tcPr>
            <w:tcW w:type="dxa" w:w="2376"/>
            <w:tcMar>
              <w:top w:w="115" w:type="dxa"/>
              <w:start w:w="145" w:type="dxa"/>
              <w:bottom w:w="115" w:type="dxa"/>
              <w:end w:w="145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color w:val="24364B"/>
                <w:sz w:val="18"/>
              </w:rPr>
              <w:t>菊花链或隔离通信</w:t>
            </w:r>
          </w:p>
        </w:tc>
      </w:tr>
      <w:tr>
        <w:trPr>
          <w:cantSplit/>
        </w:trPr>
        <w:tc>
          <w:tcPr>
            <w:tcW w:type="dxa" w:w="1512"/>
            <w:shd w:fill="F2F5F8"/>
            <w:tcMar>
              <w:top w:w="115" w:type="dxa"/>
              <w:start w:w="145" w:type="dxa"/>
              <w:bottom w:w="115" w:type="dxa"/>
              <w:end w:w="145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color w:val="24364B"/>
                <w:sz w:val="18"/>
              </w:rPr>
              <w:t>主控制器</w:t>
            </w:r>
          </w:p>
        </w:tc>
        <w:tc>
          <w:tcPr>
            <w:tcW w:type="dxa" w:w="2376"/>
            <w:shd w:fill="F2F5F8"/>
            <w:tcMar>
              <w:top w:w="115" w:type="dxa"/>
              <w:start w:w="145" w:type="dxa"/>
              <w:bottom w:w="115" w:type="dxa"/>
              <w:end w:w="145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color w:val="24364B"/>
                <w:sz w:val="18"/>
              </w:rPr>
              <w:t>MCU 存储 电源 看门狗</w:t>
            </w:r>
          </w:p>
        </w:tc>
        <w:tc>
          <w:tcPr>
            <w:tcW w:type="dxa" w:w="2880"/>
            <w:shd w:fill="F2F5F8"/>
            <w:tcMar>
              <w:top w:w="115" w:type="dxa"/>
              <w:start w:w="145" w:type="dxa"/>
              <w:bottom w:w="115" w:type="dxa"/>
              <w:end w:w="145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color w:val="24364B"/>
                <w:sz w:val="18"/>
              </w:rPr>
              <w:t>状态估计 限值 故障管理</w:t>
            </w:r>
          </w:p>
        </w:tc>
        <w:tc>
          <w:tcPr>
            <w:tcW w:type="dxa" w:w="2376"/>
            <w:shd w:fill="F2F5F8"/>
            <w:tcMar>
              <w:top w:w="115" w:type="dxa"/>
              <w:start w:w="145" w:type="dxa"/>
              <w:bottom w:w="115" w:type="dxa"/>
              <w:end w:w="145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color w:val="24364B"/>
                <w:sz w:val="18"/>
              </w:rPr>
              <w:t>整车 CAN 充电 热管理</w:t>
            </w:r>
          </w:p>
        </w:tc>
      </w:tr>
      <w:tr>
        <w:trPr>
          <w:cantSplit/>
        </w:trPr>
        <w:tc>
          <w:tcPr>
            <w:tcW w:type="dxa" w:w="1512"/>
            <w:tcMar>
              <w:top w:w="115" w:type="dxa"/>
              <w:start w:w="145" w:type="dxa"/>
              <w:bottom w:w="115" w:type="dxa"/>
              <w:end w:w="145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color w:val="24364B"/>
                <w:sz w:val="18"/>
              </w:rPr>
              <w:t>高压单元</w:t>
            </w:r>
          </w:p>
        </w:tc>
        <w:tc>
          <w:tcPr>
            <w:tcW w:type="dxa" w:w="2376"/>
            <w:tcMar>
              <w:top w:w="115" w:type="dxa"/>
              <w:start w:w="145" w:type="dxa"/>
              <w:bottom w:w="115" w:type="dxa"/>
              <w:end w:w="145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color w:val="24364B"/>
                <w:sz w:val="18"/>
              </w:rPr>
              <w:t>电流传感 绝缘监测 接触器驱动</w:t>
            </w:r>
          </w:p>
        </w:tc>
        <w:tc>
          <w:tcPr>
            <w:tcW w:type="dxa" w:w="2880"/>
            <w:tcMar>
              <w:top w:w="115" w:type="dxa"/>
              <w:start w:w="145" w:type="dxa"/>
              <w:bottom w:w="115" w:type="dxa"/>
              <w:end w:w="145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color w:val="24364B"/>
                <w:sz w:val="18"/>
              </w:rPr>
              <w:t>Pack 电流 高压互锁和隔离</w:t>
            </w:r>
          </w:p>
        </w:tc>
        <w:tc>
          <w:tcPr>
            <w:tcW w:type="dxa" w:w="2376"/>
            <w:tcMar>
              <w:top w:w="115" w:type="dxa"/>
              <w:start w:w="145" w:type="dxa"/>
              <w:bottom w:w="115" w:type="dxa"/>
              <w:end w:w="145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color w:val="24364B"/>
                <w:sz w:val="18"/>
              </w:rPr>
              <w:t>高压回路与主控</w:t>
            </w:r>
          </w:p>
        </w:tc>
      </w:tr>
      <w:tr>
        <w:trPr>
          <w:cantSplit/>
        </w:trPr>
        <w:tc>
          <w:tcPr>
            <w:tcW w:type="dxa" w:w="1512"/>
            <w:shd w:fill="F2F5F8"/>
            <w:tcMar>
              <w:top w:w="115" w:type="dxa"/>
              <w:start w:w="145" w:type="dxa"/>
              <w:bottom w:w="115" w:type="dxa"/>
              <w:end w:w="145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color w:val="24364B"/>
                <w:sz w:val="18"/>
              </w:rPr>
              <w:t>云端或诊断</w:t>
            </w:r>
          </w:p>
        </w:tc>
        <w:tc>
          <w:tcPr>
            <w:tcW w:type="dxa" w:w="2376"/>
            <w:shd w:fill="F2F5F8"/>
            <w:tcMar>
              <w:top w:w="115" w:type="dxa"/>
              <w:start w:w="145" w:type="dxa"/>
              <w:bottom w:w="115" w:type="dxa"/>
              <w:end w:w="145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color w:val="24364B"/>
                <w:sz w:val="18"/>
              </w:rPr>
              <w:t>日志 标定 远程分析</w:t>
            </w:r>
          </w:p>
        </w:tc>
        <w:tc>
          <w:tcPr>
            <w:tcW w:type="dxa" w:w="2880"/>
            <w:shd w:fill="F2F5F8"/>
            <w:tcMar>
              <w:top w:w="115" w:type="dxa"/>
              <w:start w:w="145" w:type="dxa"/>
              <w:bottom w:w="115" w:type="dxa"/>
              <w:end w:w="145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color w:val="24364B"/>
                <w:sz w:val="18"/>
              </w:rPr>
              <w:t>追溯 诊断和软件维护</w:t>
            </w:r>
          </w:p>
        </w:tc>
        <w:tc>
          <w:tcPr>
            <w:tcW w:type="dxa" w:w="2376"/>
            <w:shd w:fill="F2F5F8"/>
            <w:tcMar>
              <w:top w:w="115" w:type="dxa"/>
              <w:start w:w="145" w:type="dxa"/>
              <w:bottom w:w="115" w:type="dxa"/>
              <w:end w:w="145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color w:val="24364B"/>
                <w:sz w:val="18"/>
              </w:rPr>
              <w:t>诊断协议与网络安全</w:t>
            </w:r>
          </w:p>
        </w:tc>
      </w:tr>
    </w:tbl>
    <w:p/>
    <w:p>
      <w:pPr>
        <w:pStyle w:val="Heading1"/>
      </w:pPr>
      <w:r>
        <w:t>一 BMS 的职责边界</w:t>
      </w:r>
    </w:p>
    <w:p>
      <w:r>
        <w:t>先分清测量 估算 控制和安全职责 避免把所有异常都归给算法</w:t>
      </w:r>
    </w:p>
    <w:p>
      <w:pPr>
        <w:pStyle w:val="Heading2"/>
      </w:pPr>
      <w:r>
        <w:t>1 1 直接测量与派生状态</w:t>
      </w:r>
    </w:p>
    <w:p>
      <w:r>
        <w:t>单体电压 Pack 电流和若干温度点可直接采集 但仍受传感器精度 布线压降 共模范围和同步误差影响</w:t>
      </w:r>
    </w:p>
    <w:p>
      <w:r>
        <w:t>SOC SOH SOP 和核心温度通常不可直接测量 它们依赖模型 参数和历史数据 因此必须同时输出置信度或有效性状态</w:t>
      </w:r>
    </w:p>
    <w:p>
      <w:pPr>
        <w:pStyle w:val="Heading2"/>
      </w:pPr>
      <w:r>
        <w:t>1 2 保护与性能控制</w:t>
      </w:r>
    </w:p>
    <w:p>
      <w:r>
        <w:t>保护功能在过压 欠压 过温 绝缘下降和通信异常时限制能量流或隔离高压 性能控制则在安全边界内分配充放电功率和热管理请求</w:t>
      </w:r>
    </w:p>
    <w:p>
      <w:r>
        <w:t>两者使用相同数据但优先级不同 安全保护应有独立阈值 时间逻辑和降级策略 不能被普通性能优化覆盖</w:t>
      </w:r>
    </w:p>
    <w:p>
      <w:pPr>
        <w:jc w:val="center"/>
      </w:pPr>
      <m:oMathPara>
        <m:oMath>
          <m:r>
            <m:t>x_hat = f(y_meas u_cmd θ)</m:t>
          </m:r>
        </m:oMath>
      </m:oMathPara>
    </w:p>
    <w:p>
      <w:pPr>
        <w:pStyle w:val="Caption"/>
        <w:jc w:val="center"/>
      </w:pPr>
      <w:r>
        <w:t>式 1 状态估计值由测量 y 控制输入 u 和模型参数 θ 共同决定</w:t>
      </w:r>
    </w:p>
    <w:p>
      <w:pPr>
        <w:pStyle w:val="Heading1"/>
      </w:pPr>
      <w:r>
        <w:t>二 硬件架构与信号完整性</w:t>
      </w:r>
    </w:p>
    <w:p>
      <w:r>
        <w:t>架构选择要同时满足通道数量 隔离 精度 布线和故障隔离</w:t>
      </w:r>
    </w:p>
    <w:p>
      <w:pPr>
        <w:pStyle w:val="Heading2"/>
      </w:pPr>
      <w:r>
        <w:t>2 1 集中式与分布式</w:t>
      </w:r>
    </w:p>
    <w:p>
      <w:r>
        <w:t>集中式把采样集中在少量控制器 便于统一时钟和软件管理 但低压线束长 共模和连接器复杂</w:t>
      </w:r>
    </w:p>
    <w:p>
      <w:r>
        <w:t>分布式或主从式把采集单元靠近模组 减少模拟线长度 但增加节点供电 通信同步 地址管理和软件版本一致性要求</w:t>
      </w:r>
    </w:p>
    <w:p>
      <w:pPr>
        <w:pStyle w:val="Heading2"/>
      </w:pPr>
      <w:r>
        <w:t>2 2 测量误差预算</w:t>
      </w:r>
    </w:p>
    <w:p>
      <w:r>
        <w:t>电压误差来自 AFE 增益偏置 基准源 温漂 滤波和线束 Pack 电流误差还包含零点漂移 比例误差 带宽和磁场干扰</w:t>
      </w:r>
    </w:p>
    <w:p>
      <w:r>
        <w:t>误差预算应从系统允许的 SOC 功率和保护误差反推到器件级 并覆盖生产标定和寿命漂移</w:t>
      </w:r>
    </w:p>
    <w:p>
      <w:pPr>
        <w:jc w:val="center"/>
      </w:pPr>
      <m:oMathPara>
        <m:oMath>
          <m:r>
            <m:t>σ_total = sqrt(Σ σ_i²)</m:t>
          </m:r>
        </m:oMath>
      </m:oMathPara>
    </w:p>
    <w:p>
      <w:pPr>
        <w:pStyle w:val="Caption"/>
        <w:jc w:val="center"/>
      </w:pPr>
      <w:r>
        <w:t>式 2 独立误差源可用方和根近似合成 单位随被测量而定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1512"/>
            <w:shd w:fill="17365D"/>
            <w:tcMar>
              <w:top w:w="115" w:type="dxa"/>
              <w:start w:w="145" w:type="dxa"/>
              <w:bottom w:w="115" w:type="dxa"/>
              <w:end w:w="145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</w:rPr>
              <w:t>信号</w:t>
            </w:r>
          </w:p>
        </w:tc>
        <w:tc>
          <w:tcPr>
            <w:tcW w:type="dxa" w:w="2376"/>
            <w:shd w:fill="17365D"/>
            <w:tcMar>
              <w:top w:w="115" w:type="dxa"/>
              <w:start w:w="145" w:type="dxa"/>
              <w:bottom w:w="115" w:type="dxa"/>
              <w:end w:w="145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</w:rPr>
              <w:t>关键误差</w:t>
            </w:r>
          </w:p>
        </w:tc>
        <w:tc>
          <w:tcPr>
            <w:tcW w:type="dxa" w:w="2664"/>
            <w:shd w:fill="17365D"/>
            <w:tcMar>
              <w:top w:w="115" w:type="dxa"/>
              <w:start w:w="145" w:type="dxa"/>
              <w:bottom w:w="115" w:type="dxa"/>
              <w:end w:w="145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</w:rPr>
              <w:t>系统后果</w:t>
            </w:r>
          </w:p>
        </w:tc>
        <w:tc>
          <w:tcPr>
            <w:tcW w:type="dxa" w:w="2592"/>
            <w:shd w:fill="17365D"/>
            <w:tcMar>
              <w:top w:w="115" w:type="dxa"/>
              <w:start w:w="145" w:type="dxa"/>
              <w:bottom w:w="115" w:type="dxa"/>
              <w:end w:w="145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</w:rPr>
              <w:t>验证方法</w:t>
            </w:r>
          </w:p>
        </w:tc>
      </w:tr>
      <w:tr>
        <w:trPr>
          <w:cantSplit/>
        </w:trPr>
        <w:tc>
          <w:tcPr>
            <w:tcW w:type="dxa" w:w="1512"/>
            <w:tcMar>
              <w:top w:w="115" w:type="dxa"/>
              <w:start w:w="145" w:type="dxa"/>
              <w:bottom w:w="115" w:type="dxa"/>
              <w:end w:w="145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color w:val="24364B"/>
                <w:sz w:val="18"/>
              </w:rPr>
              <w:t>单体电压</w:t>
            </w:r>
          </w:p>
        </w:tc>
        <w:tc>
          <w:tcPr>
            <w:tcW w:type="dxa" w:w="2376"/>
            <w:tcMar>
              <w:top w:w="115" w:type="dxa"/>
              <w:start w:w="145" w:type="dxa"/>
              <w:bottom w:w="115" w:type="dxa"/>
              <w:end w:w="145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color w:val="24364B"/>
                <w:sz w:val="18"/>
              </w:rPr>
              <w:t>增益 偏置 共模 线束</w:t>
            </w:r>
          </w:p>
        </w:tc>
        <w:tc>
          <w:tcPr>
            <w:tcW w:type="dxa" w:w="2664"/>
            <w:tcMar>
              <w:top w:w="115" w:type="dxa"/>
              <w:start w:w="145" w:type="dxa"/>
              <w:bottom w:w="115" w:type="dxa"/>
              <w:end w:w="145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color w:val="24364B"/>
                <w:sz w:val="18"/>
              </w:rPr>
              <w:t>过压保护和 SOC 偏差</w:t>
            </w:r>
          </w:p>
        </w:tc>
        <w:tc>
          <w:tcPr>
            <w:tcW w:type="dxa" w:w="2592"/>
            <w:tcMar>
              <w:top w:w="115" w:type="dxa"/>
              <w:start w:w="145" w:type="dxa"/>
              <w:bottom w:w="115" w:type="dxa"/>
              <w:end w:w="145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color w:val="24364B"/>
                <w:sz w:val="18"/>
              </w:rPr>
              <w:t>精密源扫描 温漂 共模测试</w:t>
            </w:r>
          </w:p>
        </w:tc>
      </w:tr>
      <w:tr>
        <w:trPr>
          <w:cantSplit/>
        </w:trPr>
        <w:tc>
          <w:tcPr>
            <w:tcW w:type="dxa" w:w="1512"/>
            <w:shd w:fill="F2F5F8"/>
            <w:tcMar>
              <w:top w:w="115" w:type="dxa"/>
              <w:start w:w="145" w:type="dxa"/>
              <w:bottom w:w="115" w:type="dxa"/>
              <w:end w:w="145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color w:val="24364B"/>
                <w:sz w:val="18"/>
              </w:rPr>
              <w:t>Pack 电流</w:t>
            </w:r>
          </w:p>
        </w:tc>
        <w:tc>
          <w:tcPr>
            <w:tcW w:type="dxa" w:w="2376"/>
            <w:shd w:fill="F2F5F8"/>
            <w:tcMar>
              <w:top w:w="115" w:type="dxa"/>
              <w:start w:w="145" w:type="dxa"/>
              <w:bottom w:w="115" w:type="dxa"/>
              <w:end w:w="145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color w:val="24364B"/>
                <w:sz w:val="18"/>
              </w:rPr>
              <w:t>零漂 比例 带宽</w:t>
            </w:r>
          </w:p>
        </w:tc>
        <w:tc>
          <w:tcPr>
            <w:tcW w:type="dxa" w:w="2664"/>
            <w:shd w:fill="F2F5F8"/>
            <w:tcMar>
              <w:top w:w="115" w:type="dxa"/>
              <w:start w:w="145" w:type="dxa"/>
              <w:bottom w:w="115" w:type="dxa"/>
              <w:end w:w="145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color w:val="24364B"/>
                <w:sz w:val="18"/>
              </w:rPr>
              <w:t>库仑累计与功率限值偏差</w:t>
            </w:r>
          </w:p>
        </w:tc>
        <w:tc>
          <w:tcPr>
            <w:tcW w:type="dxa" w:w="2592"/>
            <w:shd w:fill="F2F5F8"/>
            <w:tcMar>
              <w:top w:w="115" w:type="dxa"/>
              <w:start w:w="145" w:type="dxa"/>
              <w:bottom w:w="115" w:type="dxa"/>
              <w:end w:w="145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color w:val="24364B"/>
                <w:sz w:val="18"/>
              </w:rPr>
              <w:t>双向电流标定 动态脉冲</w:t>
            </w:r>
          </w:p>
        </w:tc>
      </w:tr>
      <w:tr>
        <w:trPr>
          <w:cantSplit/>
        </w:trPr>
        <w:tc>
          <w:tcPr>
            <w:tcW w:type="dxa" w:w="1512"/>
            <w:tcMar>
              <w:top w:w="115" w:type="dxa"/>
              <w:start w:w="145" w:type="dxa"/>
              <w:bottom w:w="115" w:type="dxa"/>
              <w:end w:w="145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color w:val="24364B"/>
                <w:sz w:val="18"/>
              </w:rPr>
              <w:t>温度</w:t>
            </w:r>
          </w:p>
        </w:tc>
        <w:tc>
          <w:tcPr>
            <w:tcW w:type="dxa" w:w="2376"/>
            <w:tcMar>
              <w:top w:w="115" w:type="dxa"/>
              <w:start w:w="145" w:type="dxa"/>
              <w:bottom w:w="115" w:type="dxa"/>
              <w:end w:w="145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color w:val="24364B"/>
                <w:sz w:val="18"/>
              </w:rPr>
              <w:t>传感器位置 热滞后</w:t>
            </w:r>
          </w:p>
        </w:tc>
        <w:tc>
          <w:tcPr>
            <w:tcW w:type="dxa" w:w="2664"/>
            <w:tcMar>
              <w:top w:w="115" w:type="dxa"/>
              <w:start w:w="145" w:type="dxa"/>
              <w:bottom w:w="115" w:type="dxa"/>
              <w:end w:w="145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color w:val="24364B"/>
                <w:sz w:val="18"/>
              </w:rPr>
              <w:t>热点漏检和错误降额</w:t>
            </w:r>
          </w:p>
        </w:tc>
        <w:tc>
          <w:tcPr>
            <w:tcW w:type="dxa" w:w="2592"/>
            <w:tcMar>
              <w:top w:w="115" w:type="dxa"/>
              <w:start w:w="145" w:type="dxa"/>
              <w:bottom w:w="115" w:type="dxa"/>
              <w:end w:w="145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color w:val="24364B"/>
                <w:sz w:val="18"/>
              </w:rPr>
              <w:t>热箱 梯度 工况响应</w:t>
            </w:r>
          </w:p>
        </w:tc>
      </w:tr>
      <w:tr>
        <w:trPr>
          <w:cantSplit/>
        </w:trPr>
        <w:tc>
          <w:tcPr>
            <w:tcW w:type="dxa" w:w="1512"/>
            <w:shd w:fill="F2F5F8"/>
            <w:tcMar>
              <w:top w:w="115" w:type="dxa"/>
              <w:start w:w="145" w:type="dxa"/>
              <w:bottom w:w="115" w:type="dxa"/>
              <w:end w:w="145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color w:val="24364B"/>
                <w:sz w:val="18"/>
              </w:rPr>
              <w:t>绝缘</w:t>
            </w:r>
          </w:p>
        </w:tc>
        <w:tc>
          <w:tcPr>
            <w:tcW w:type="dxa" w:w="2376"/>
            <w:shd w:fill="F2F5F8"/>
            <w:tcMar>
              <w:top w:w="115" w:type="dxa"/>
              <w:start w:w="145" w:type="dxa"/>
              <w:bottom w:w="115" w:type="dxa"/>
              <w:end w:w="145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color w:val="24364B"/>
                <w:sz w:val="18"/>
              </w:rPr>
              <w:t>寄生电容 开关状态</w:t>
            </w:r>
          </w:p>
        </w:tc>
        <w:tc>
          <w:tcPr>
            <w:tcW w:type="dxa" w:w="2664"/>
            <w:shd w:fill="F2F5F8"/>
            <w:tcMar>
              <w:top w:w="115" w:type="dxa"/>
              <w:start w:w="145" w:type="dxa"/>
              <w:bottom w:w="115" w:type="dxa"/>
              <w:end w:w="145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color w:val="24364B"/>
                <w:sz w:val="18"/>
              </w:rPr>
              <w:t>误报警或隔离风险</w:t>
            </w:r>
          </w:p>
        </w:tc>
        <w:tc>
          <w:tcPr>
            <w:tcW w:type="dxa" w:w="2592"/>
            <w:shd w:fill="F2F5F8"/>
            <w:tcMar>
              <w:top w:w="115" w:type="dxa"/>
              <w:start w:w="145" w:type="dxa"/>
              <w:bottom w:w="115" w:type="dxa"/>
              <w:end w:w="145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color w:val="24364B"/>
                <w:sz w:val="18"/>
              </w:rPr>
              <w:t>不同母线电压和湿度注入</w:t>
            </w:r>
          </w:p>
        </w:tc>
      </w:tr>
    </w:tbl>
    <w:p/>
    <w:p>
      <w:pPr>
        <w:pStyle w:val="Heading1"/>
      </w:pPr>
      <w:r>
        <w:t>三 软件分层与时间确定性</w:t>
      </w:r>
    </w:p>
    <w:p>
      <w:r>
        <w:t>安全算法需要确定的执行周期 数据时间戳和状态机</w:t>
      </w:r>
    </w:p>
    <w:p>
      <w:pPr>
        <w:pStyle w:val="Heading2"/>
      </w:pPr>
      <w:r>
        <w:t>3 1 驱动 服务和应用层</w:t>
      </w:r>
    </w:p>
    <w:p>
      <w:r>
        <w:t>底层驱动负责采样和通信 服务层完成诊断 滤波与数据质量管理 应用层执行估算 限值和故障状态机</w:t>
      </w:r>
    </w:p>
    <w:p>
      <w:r>
        <w:t>分层能把硬件更换与算法更新隔离 但接口必须明确量纲 时间戳 缺省值和无效数据处理</w:t>
      </w:r>
    </w:p>
    <w:p>
      <w:pPr>
        <w:pStyle w:val="Heading2"/>
      </w:pPr>
      <w:r>
        <w:t>3 2 调度与数据同步</w:t>
      </w:r>
    </w:p>
    <w:p>
      <w:r>
        <w:t>单体电压和 Pack 电流若不同步 动态工况下会制造虚假模型残差 影响 SOC 和故障判断</w:t>
      </w:r>
    </w:p>
    <w:p>
      <w:r>
        <w:t>每个任务应定义周期 最坏执行时间 超时和降级策略 看门狗只证明任务响应 不能证明计算结果正确</w:t>
      </w:r>
    </w:p>
    <w:p>
      <w:pPr>
        <w:jc w:val="center"/>
      </w:pPr>
      <m:oMathPara>
        <m:oMath>
          <m:r>
            <m:t>t_detect + t_decide + t_actuate ≤ t_safe</m:t>
          </m:r>
        </m:oMath>
      </m:oMathPara>
    </w:p>
    <w:p>
      <w:pPr>
        <w:pStyle w:val="Caption"/>
        <w:jc w:val="center"/>
      </w:pPr>
      <w:r>
        <w:t>式 3 故障检测 决策和执行总时间必须小于允许安全时间</w:t>
      </w:r>
    </w:p>
    <w:p>
      <w:pPr>
        <w:pStyle w:val="Heading1"/>
      </w:pPr>
      <w:r>
        <w:t>四 高压控制与热管理接口</w:t>
      </w:r>
    </w:p>
    <w:p>
      <w:r>
        <w:t>BMS 通过执行器改变能量路径 执行动作必须被反馈确认</w:t>
      </w:r>
    </w:p>
    <w:p>
      <w:pPr>
        <w:pStyle w:val="Heading2"/>
      </w:pPr>
      <w:r>
        <w:t>4 1 接触器与预充状态机</w:t>
      </w:r>
    </w:p>
    <w:p>
      <w:r>
        <w:t>上电前检查互锁 绝缘和母线条件 预充阶段限制电容浪涌 主接触器闭合后再退出预充</w:t>
      </w:r>
    </w:p>
    <w:p>
      <w:r>
        <w:t>接触器命令与实际状态可能不一致 需要用辅助触点和母线电压交叉判断粘连 拒动或预充失败</w:t>
      </w:r>
    </w:p>
    <w:p>
      <w:pPr>
        <w:pStyle w:val="Heading2"/>
      </w:pPr>
      <w:r>
        <w:t>4 2 充电与热管理协同</w:t>
      </w:r>
    </w:p>
    <w:p>
      <w:r>
        <w:t>BMS 根据单体电压 温度 SOC 和 SOH 向充电机给出允许电流或功率 同时请求泵 阀 风扇或制冷系统</w:t>
      </w:r>
    </w:p>
    <w:p>
      <w:r>
        <w:t>冷却故障不一定立刻要求断电 但必须进入有证据的降额曲线 避免温度继续上升到不可逆边界</w:t>
      </w:r>
    </w:p>
    <w:p>
      <w:pPr>
        <w:jc w:val="center"/>
      </w:pPr>
      <m:oMathPara>
        <m:oMath>
          <m:r>
            <m:t>P_allow = min(P_voltage P_thermal P_soc P_fault)</m:t>
          </m:r>
        </m:oMath>
      </m:oMathPara>
    </w:p>
    <w:p>
      <w:pPr>
        <w:pStyle w:val="Caption"/>
        <w:jc w:val="center"/>
      </w:pPr>
      <w:r>
        <w:t>式 4 允许功率取各约束给出的最小值 单位为 W 或 kW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1656"/>
            <w:shd w:fill="17365D"/>
            <w:tcMar>
              <w:top w:w="115" w:type="dxa"/>
              <w:start w:w="145" w:type="dxa"/>
              <w:bottom w:w="115" w:type="dxa"/>
              <w:end w:w="145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</w:rPr>
              <w:t>状态</w:t>
            </w:r>
          </w:p>
        </w:tc>
        <w:tc>
          <w:tcPr>
            <w:tcW w:type="dxa" w:w="2592"/>
            <w:shd w:fill="17365D"/>
            <w:tcMar>
              <w:top w:w="115" w:type="dxa"/>
              <w:start w:w="145" w:type="dxa"/>
              <w:bottom w:w="115" w:type="dxa"/>
              <w:end w:w="145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</w:rPr>
              <w:t>进入条件</w:t>
            </w:r>
          </w:p>
        </w:tc>
        <w:tc>
          <w:tcPr>
            <w:tcW w:type="dxa" w:w="2736"/>
            <w:shd w:fill="17365D"/>
            <w:tcMar>
              <w:top w:w="115" w:type="dxa"/>
              <w:start w:w="145" w:type="dxa"/>
              <w:bottom w:w="115" w:type="dxa"/>
              <w:end w:w="145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</w:rPr>
              <w:t>允许动作</w:t>
            </w:r>
          </w:p>
        </w:tc>
        <w:tc>
          <w:tcPr>
            <w:tcW w:type="dxa" w:w="2160"/>
            <w:shd w:fill="17365D"/>
            <w:tcMar>
              <w:top w:w="115" w:type="dxa"/>
              <w:start w:w="145" w:type="dxa"/>
              <w:bottom w:w="115" w:type="dxa"/>
              <w:end w:w="145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</w:rPr>
              <w:t>退出或降级</w:t>
            </w:r>
          </w:p>
        </w:tc>
      </w:tr>
      <w:tr>
        <w:trPr>
          <w:cantSplit/>
        </w:trPr>
        <w:tc>
          <w:tcPr>
            <w:tcW w:type="dxa" w:w="1656"/>
            <w:tcMar>
              <w:top w:w="115" w:type="dxa"/>
              <w:start w:w="145" w:type="dxa"/>
              <w:bottom w:w="115" w:type="dxa"/>
              <w:end w:w="145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color w:val="24364B"/>
                <w:sz w:val="18"/>
              </w:rPr>
              <w:t>休眠</w:t>
            </w:r>
          </w:p>
        </w:tc>
        <w:tc>
          <w:tcPr>
            <w:tcW w:type="dxa" w:w="2592"/>
            <w:tcMar>
              <w:top w:w="115" w:type="dxa"/>
              <w:start w:w="145" w:type="dxa"/>
              <w:bottom w:w="115" w:type="dxa"/>
              <w:end w:w="145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color w:val="24364B"/>
                <w:sz w:val="18"/>
              </w:rPr>
              <w:t>无唤醒请求</w:t>
            </w:r>
          </w:p>
        </w:tc>
        <w:tc>
          <w:tcPr>
            <w:tcW w:type="dxa" w:w="2736"/>
            <w:tcMar>
              <w:top w:w="115" w:type="dxa"/>
              <w:start w:w="145" w:type="dxa"/>
              <w:bottom w:w="115" w:type="dxa"/>
              <w:end w:w="145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color w:val="24364B"/>
                <w:sz w:val="18"/>
              </w:rPr>
              <w:t>低功耗监测</w:t>
            </w:r>
          </w:p>
        </w:tc>
        <w:tc>
          <w:tcPr>
            <w:tcW w:type="dxa" w:w="2160"/>
            <w:tcMar>
              <w:top w:w="115" w:type="dxa"/>
              <w:start w:w="145" w:type="dxa"/>
              <w:bottom w:w="115" w:type="dxa"/>
              <w:end w:w="145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color w:val="24364B"/>
                <w:sz w:val="18"/>
              </w:rPr>
              <w:t>唤醒源有效</w:t>
            </w:r>
          </w:p>
        </w:tc>
      </w:tr>
      <w:tr>
        <w:trPr>
          <w:cantSplit/>
        </w:trPr>
        <w:tc>
          <w:tcPr>
            <w:tcW w:type="dxa" w:w="1656"/>
            <w:shd w:fill="F2F5F8"/>
            <w:tcMar>
              <w:top w:w="115" w:type="dxa"/>
              <w:start w:w="145" w:type="dxa"/>
              <w:bottom w:w="115" w:type="dxa"/>
              <w:end w:w="145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color w:val="24364B"/>
                <w:sz w:val="18"/>
              </w:rPr>
              <w:t>预充</w:t>
            </w:r>
          </w:p>
        </w:tc>
        <w:tc>
          <w:tcPr>
            <w:tcW w:type="dxa" w:w="2592"/>
            <w:shd w:fill="F2F5F8"/>
            <w:tcMar>
              <w:top w:w="115" w:type="dxa"/>
              <w:start w:w="145" w:type="dxa"/>
              <w:bottom w:w="115" w:type="dxa"/>
              <w:end w:w="145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color w:val="24364B"/>
                <w:sz w:val="18"/>
              </w:rPr>
              <w:t>互锁与绝缘正常</w:t>
            </w:r>
          </w:p>
        </w:tc>
        <w:tc>
          <w:tcPr>
            <w:tcW w:type="dxa" w:w="2736"/>
            <w:shd w:fill="F2F5F8"/>
            <w:tcMar>
              <w:top w:w="115" w:type="dxa"/>
              <w:start w:w="145" w:type="dxa"/>
              <w:bottom w:w="115" w:type="dxa"/>
              <w:end w:w="145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color w:val="24364B"/>
                <w:sz w:val="18"/>
              </w:rPr>
              <w:t>闭合预充并监控母线</w:t>
            </w:r>
          </w:p>
        </w:tc>
        <w:tc>
          <w:tcPr>
            <w:tcW w:type="dxa" w:w="2160"/>
            <w:shd w:fill="F2F5F8"/>
            <w:tcMar>
              <w:top w:w="115" w:type="dxa"/>
              <w:start w:w="145" w:type="dxa"/>
              <w:bottom w:w="115" w:type="dxa"/>
              <w:end w:w="145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color w:val="24364B"/>
                <w:sz w:val="18"/>
              </w:rPr>
              <w:t>达阈值后闭主接触器</w:t>
            </w:r>
          </w:p>
        </w:tc>
      </w:tr>
      <w:tr>
        <w:trPr>
          <w:cantSplit/>
        </w:trPr>
        <w:tc>
          <w:tcPr>
            <w:tcW w:type="dxa" w:w="1656"/>
            <w:tcMar>
              <w:top w:w="115" w:type="dxa"/>
              <w:start w:w="145" w:type="dxa"/>
              <w:bottom w:w="115" w:type="dxa"/>
              <w:end w:w="145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color w:val="24364B"/>
                <w:sz w:val="18"/>
              </w:rPr>
              <w:t>运行</w:t>
            </w:r>
          </w:p>
        </w:tc>
        <w:tc>
          <w:tcPr>
            <w:tcW w:type="dxa" w:w="2592"/>
            <w:tcMar>
              <w:top w:w="115" w:type="dxa"/>
              <w:start w:w="145" w:type="dxa"/>
              <w:bottom w:w="115" w:type="dxa"/>
              <w:end w:w="145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color w:val="24364B"/>
                <w:sz w:val="18"/>
              </w:rPr>
              <w:t>高压连接成功</w:t>
            </w:r>
          </w:p>
        </w:tc>
        <w:tc>
          <w:tcPr>
            <w:tcW w:type="dxa" w:w="2736"/>
            <w:tcMar>
              <w:top w:w="115" w:type="dxa"/>
              <w:start w:w="145" w:type="dxa"/>
              <w:bottom w:w="115" w:type="dxa"/>
              <w:end w:w="145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color w:val="24364B"/>
                <w:sz w:val="18"/>
              </w:rPr>
              <w:t>计算限值 控制热管理</w:t>
            </w:r>
          </w:p>
        </w:tc>
        <w:tc>
          <w:tcPr>
            <w:tcW w:type="dxa" w:w="2160"/>
            <w:tcMar>
              <w:top w:w="115" w:type="dxa"/>
              <w:start w:w="145" w:type="dxa"/>
              <w:bottom w:w="115" w:type="dxa"/>
              <w:end w:w="145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color w:val="24364B"/>
                <w:sz w:val="18"/>
              </w:rPr>
              <w:t>故障降额或断开</w:t>
            </w:r>
          </w:p>
        </w:tc>
      </w:tr>
      <w:tr>
        <w:trPr>
          <w:cantSplit/>
        </w:trPr>
        <w:tc>
          <w:tcPr>
            <w:tcW w:type="dxa" w:w="1656"/>
            <w:shd w:fill="F2F5F8"/>
            <w:tcMar>
              <w:top w:w="115" w:type="dxa"/>
              <w:start w:w="145" w:type="dxa"/>
              <w:bottom w:w="115" w:type="dxa"/>
              <w:end w:w="145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color w:val="24364B"/>
                <w:sz w:val="18"/>
              </w:rPr>
              <w:t>安全隔离</w:t>
            </w:r>
          </w:p>
        </w:tc>
        <w:tc>
          <w:tcPr>
            <w:tcW w:type="dxa" w:w="2592"/>
            <w:shd w:fill="F2F5F8"/>
            <w:tcMar>
              <w:top w:w="115" w:type="dxa"/>
              <w:start w:w="145" w:type="dxa"/>
              <w:bottom w:w="115" w:type="dxa"/>
              <w:end w:w="145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color w:val="24364B"/>
                <w:sz w:val="18"/>
              </w:rPr>
              <w:t>严重故障或碰撞请求</w:t>
            </w:r>
          </w:p>
        </w:tc>
        <w:tc>
          <w:tcPr>
            <w:tcW w:type="dxa" w:w="2736"/>
            <w:shd w:fill="F2F5F8"/>
            <w:tcMar>
              <w:top w:w="115" w:type="dxa"/>
              <w:start w:w="145" w:type="dxa"/>
              <w:bottom w:w="115" w:type="dxa"/>
              <w:end w:w="145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color w:val="24364B"/>
                <w:sz w:val="18"/>
              </w:rPr>
              <w:t>断开接触器 禁止充电</w:t>
            </w:r>
          </w:p>
        </w:tc>
        <w:tc>
          <w:tcPr>
            <w:tcW w:type="dxa" w:w="2160"/>
            <w:shd w:fill="F2F5F8"/>
            <w:tcMar>
              <w:top w:w="115" w:type="dxa"/>
              <w:start w:w="145" w:type="dxa"/>
              <w:bottom w:w="115" w:type="dxa"/>
              <w:end w:w="145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color w:val="24364B"/>
                <w:sz w:val="18"/>
              </w:rPr>
              <w:t>受控复位和维修确认</w:t>
            </w:r>
          </w:p>
        </w:tc>
      </w:tr>
    </w:tbl>
    <w:p/>
    <w:p>
      <w:pPr>
        <w:pStyle w:val="Heading1"/>
      </w:pPr>
      <w:r>
        <w:t>五 故障管理与降级</w:t>
      </w:r>
    </w:p>
    <w:p>
      <w:r>
        <w:t>故障码只是记录 关键是检测可信度和安全动作</w:t>
      </w:r>
    </w:p>
    <w:p>
      <w:pPr>
        <w:pStyle w:val="Heading2"/>
      </w:pPr>
      <w:r>
        <w:t>5 1 阈值 去抖和合理性</w:t>
      </w:r>
    </w:p>
    <w:p>
      <w:r>
        <w:t>瞬时噪声不应触发不必要的高压断开 因此常用时间去抖 迟滞和多信号交叉检查</w:t>
      </w:r>
    </w:p>
    <w:p>
      <w:r>
        <w:t>去抖过长会延迟保护 过短会增加误报 应依据危险发展时间和传感带宽确定 而不是复制经验值</w:t>
      </w:r>
    </w:p>
    <w:p>
      <w:pPr>
        <w:pStyle w:val="Heading2"/>
      </w:pPr>
      <w:r>
        <w:t>5 2 分级降级与安全状态</w:t>
      </w:r>
    </w:p>
    <w:p>
      <w:r>
        <w:t>故障可按提示 限功率 禁止充电 受控停机和立即隔离分级 选择取决于继续运行风险与立即断电风险</w:t>
      </w:r>
    </w:p>
    <w:p>
      <w:r>
        <w:t>安全状态还要考虑车辆位置 制动 转向和热事件 并通过整车控制器协同实现</w:t>
      </w:r>
    </w:p>
    <w:p>
      <w:pPr>
        <w:jc w:val="center"/>
      </w:pPr>
      <m:oMathPara>
        <m:oMath>
          <m:r>
            <m:t>Risk = Probability × Severity × Exposure</m:t>
          </m:r>
        </m:oMath>
      </m:oMathPara>
    </w:p>
    <w:p>
      <w:pPr>
        <w:pStyle w:val="Caption"/>
        <w:jc w:val="center"/>
      </w:pPr>
      <w:r>
        <w:t>式 5 风险排序用于选择诊断覆盖和安全动作 量纲取决于企业方法</w:t>
      </w:r>
    </w:p>
    <w:p>
      <w:pPr>
        <w:pStyle w:val="Heading1"/>
      </w:pPr>
      <w:r>
        <w:t>六 通信 标定与网络安全</w:t>
      </w:r>
    </w:p>
    <w:p>
      <w:r>
        <w:t>BMS 的正确性依赖数据语义 软件版本和受控标定</w:t>
      </w:r>
    </w:p>
    <w:p>
      <w:pPr>
        <w:pStyle w:val="Heading2"/>
      </w:pPr>
      <w:r>
        <w:t>6 1 通信数据契约</w:t>
      </w:r>
    </w:p>
    <w:p>
      <w:r>
        <w:t>每个报文需要定义信号范围 分辨率 字节序 周期 超时和无效值 还要说明信号是在采样时还是发送时生成</w:t>
      </w:r>
    </w:p>
    <w:p>
      <w:r>
        <w:t>丢包 延迟 重复和总线拥塞必须在故障注入中验证 上层不应把陈旧数据当作当前状态</w:t>
      </w:r>
    </w:p>
    <w:p>
      <w:pPr>
        <w:pStyle w:val="Heading2"/>
      </w:pPr>
      <w:r>
        <w:t>6 2 标定与更新治理</w:t>
      </w:r>
    </w:p>
    <w:p>
      <w:r>
        <w:t>阈值 容量 温度限值和模型参数属于安全相关配置 需要版本 适用对象 审批和回滚记录</w:t>
      </w:r>
    </w:p>
    <w:p>
      <w:r>
        <w:t>软件更新应验证完整性 兼容性和断电恢复 防止错误标定把保护边界改写成性能目标</w:t>
      </w:r>
    </w:p>
    <w:p>
      <w:pPr>
        <w:jc w:val="center"/>
      </w:pPr>
      <m:oMathPara>
        <m:oMath>
          <m:r>
            <m:t>Age_data = t_now − t_sample</m:t>
          </m:r>
        </m:oMath>
      </m:oMathPara>
    </w:p>
    <w:p>
      <w:pPr>
        <w:pStyle w:val="Caption"/>
        <w:jc w:val="center"/>
      </w:pPr>
      <w:r>
        <w:t>式 6 数据年龄超过允许窗口时应标记无效或进入降级</w:t>
      </w:r>
    </w:p>
    <w:p>
      <w:pPr>
        <w:pStyle w:val="Heading1"/>
      </w:pPr>
      <w:r>
        <w:t>七 验证与确认</w:t>
      </w:r>
    </w:p>
    <w:p>
      <w:r>
        <w:t>BMS 验证要覆盖正常 极限 故障和组合故障</w:t>
      </w:r>
    </w:p>
    <w:p>
      <w:pPr>
        <w:pStyle w:val="Heading2"/>
      </w:pPr>
      <w:r>
        <w:t>7 1 从单元测试到硬件在环</w:t>
      </w:r>
    </w:p>
    <w:p>
      <w:r>
        <w:t>单元测试验证数学和状态机 边界 软件在环验证接口 硬件在环注入传感和通信故障 Pack 台架验证真实执行器与高压行为</w:t>
      </w:r>
    </w:p>
    <w:p>
      <w:r>
        <w:t>覆盖率应与安全需求追踪 仅统计代码覆盖不能证明危险场景已被验证</w:t>
      </w:r>
    </w:p>
    <w:p>
      <w:pPr>
        <w:pStyle w:val="Heading2"/>
      </w:pPr>
      <w:r>
        <w:t>7 2 整车与现场数据</w:t>
      </w:r>
    </w:p>
    <w:p>
      <w:r>
        <w:t>整车测试验证驾驶 充电 热管理和休眠唤醒的协同 现场数据用于发现实验室未覆盖的使用分布和慢性漂移</w:t>
      </w:r>
    </w:p>
    <w:p>
      <w:r>
        <w:t>日志必须包含时间同步 软件和标定版本 环境及故障前后窗口 才能支持根因分析</w:t>
      </w:r>
    </w:p>
    <w:p>
      <w:pPr>
        <w:pStyle w:val="Heading1"/>
      </w:pPr>
      <w:r>
        <w:t>工程检查表</w:t>
      </w:r>
    </w:p>
    <w:p>
      <w:r>
        <w:t>发布 BMS 版本前检查以下五项</w:t>
      </w:r>
    </w:p>
    <w:p>
      <w:pPr>
        <w:numPr>
          <w:ilvl w:val="0"/>
          <w:numId w:val="15"/>
        </w:numPr>
      </w:pPr>
      <w:r>
        <w:t>每个估计量是否区分有效值 置信度和无效原因</w:t>
      </w:r>
    </w:p>
    <w:p>
      <w:pPr>
        <w:numPr>
          <w:ilvl w:val="0"/>
          <w:numId w:val="15"/>
        </w:numPr>
      </w:pPr>
      <w:r>
        <w:t>关键传感器误差预算是否追溯到系统保护与性能需求</w:t>
      </w:r>
    </w:p>
    <w:p>
      <w:pPr>
        <w:numPr>
          <w:ilvl w:val="0"/>
          <w:numId w:val="15"/>
        </w:numPr>
      </w:pPr>
      <w:r>
        <w:t>接触器 预充 热管理和充电命令是否都有反馈确认</w:t>
      </w:r>
    </w:p>
    <w:p>
      <w:pPr>
        <w:numPr>
          <w:ilvl w:val="0"/>
          <w:numId w:val="15"/>
        </w:numPr>
      </w:pPr>
      <w:r>
        <w:t>严重故障的检测 决策 执行时间是否小于允许安全时间</w:t>
      </w:r>
    </w:p>
    <w:p>
      <w:pPr>
        <w:numPr>
          <w:ilvl w:val="0"/>
          <w:numId w:val="15"/>
        </w:numPr>
      </w:pPr>
      <w:r>
        <w:t>软件 标定 报文和硬件版本是否形成可追溯组合</w:t>
      </w:r>
    </w:p>
    <w:p>
      <w:pPr>
        <w:pStyle w:val="Heading1"/>
      </w:pPr>
      <w:r>
        <w:t>案例推演</w:t>
      </w:r>
    </w:p>
    <w:p>
      <w:r>
        <w:t>场景 车辆快充时某单体电压瞬间跳高 触发充电中止 复现概率很低</w:t>
      </w:r>
    </w:p>
    <w:p>
      <w:r>
        <w:t>可能原因包括真实局部过压 采样线接触不良 共模干扰 时间不同步或软件数据陈旧</w:t>
      </w:r>
    </w:p>
    <w:p>
      <w:pPr>
        <w:numPr>
          <w:ilvl w:val="0"/>
          <w:numId w:val="16"/>
        </w:numPr>
      </w:pPr>
      <w:r>
        <w:t>保存故障前后原始采样 时间戳 电流 温度和通信质量标志</w:t>
      </w:r>
    </w:p>
    <w:p>
      <w:pPr>
        <w:numPr>
          <w:ilvl w:val="0"/>
          <w:numId w:val="16"/>
        </w:numPr>
      </w:pPr>
      <w:r>
        <w:t>用相邻单体 Pack 电压和充电机输出做电气合理性检查</w:t>
      </w:r>
    </w:p>
    <w:p>
      <w:pPr>
        <w:numPr>
          <w:ilvl w:val="0"/>
          <w:numId w:val="16"/>
        </w:numPr>
      </w:pPr>
      <w:r>
        <w:t>台架注入采样开路 共模跃迁 丢包和延迟 验证诊断响应</w:t>
      </w:r>
    </w:p>
    <w:p>
      <w:pPr>
        <w:numPr>
          <w:ilvl w:val="0"/>
          <w:numId w:val="16"/>
        </w:numPr>
      </w:pPr>
      <w:r>
        <w:t>复核去抖 迟滞和故障等级是否满足安全时间并避免误报</w:t>
      </w:r>
    </w:p>
    <w:p>
      <w:pPr>
        <w:numPr>
          <w:ilvl w:val="0"/>
          <w:numId w:val="16"/>
        </w:numPr>
      </w:pPr>
      <w:r>
        <w:t>把根因对应到硬件 软件 标定或工艺措施并完成回归测试</w:t>
      </w:r>
    </w:p>
    <w:p>
      <w:r>
        <w:t>正确结论需要同时解释信号来源 检测逻辑和系统动作 而不是简单放宽过压阈值</w:t>
      </w:r>
    </w:p>
    <w:p>
      <w:pPr>
        <w:pStyle w:val="Heading1"/>
      </w:pPr>
      <w:r>
        <w:t>常见误区</w:t>
      </w:r>
    </w:p>
    <w:p>
      <w:r>
        <w:t>以下判断忽略了关键边界。复盘时应先补齐对象、工况和可验证证据。</w:t>
      </w:r>
    </w:p>
    <w:p>
      <w:pPr>
        <w:pStyle w:val="Heading2"/>
      </w:pPr>
      <w:r>
        <w:t>误区 1 BMS 能直接测得 SOC</w:t>
      </w:r>
    </w:p>
    <w:p>
      <w:r>
        <w:t>BMS 测量电压 电流和温度 SOC 是模型估计值</w:t>
      </w:r>
    </w:p>
    <w:p>
      <w:pPr>
        <w:pStyle w:val="Heading2"/>
      </w:pPr>
      <w:r>
        <w:t>误区 2 传感器精度高就不会误判</w:t>
      </w:r>
    </w:p>
    <w:p>
      <w:r>
        <w:t>布线 同步 共模 滤波和软件数据年龄也会造成系统误差</w:t>
      </w:r>
    </w:p>
    <w:p>
      <w:pPr>
        <w:pStyle w:val="Heading2"/>
      </w:pPr>
      <w:r>
        <w:t>误区 3 故障阈值越保守越安全</w:t>
      </w:r>
    </w:p>
    <w:p>
      <w:r>
        <w:t>过度误报可能引发不必要断电 需要按危险时间和系统后果设计</w:t>
      </w:r>
    </w:p>
    <w:p>
      <w:pPr>
        <w:pStyle w:val="Heading2"/>
      </w:pPr>
      <w:r>
        <w:t>误区 4 看门狗能证明软件安全</w:t>
      </w:r>
    </w:p>
    <w:p>
      <w:r>
        <w:t>它只能发现部分失控或超时 不能证明算法和数据正确</w:t>
      </w:r>
    </w:p>
    <w:p>
      <w:pPr>
        <w:pStyle w:val="Heading2"/>
      </w:pPr>
      <w:r>
        <w:t>误区 5 日志有故障码就足够</w:t>
      </w:r>
    </w:p>
    <w:p>
      <w:r>
        <w:t>根因需要原始信号 时间戳 版本和故障前后上下文</w:t>
      </w:r>
    </w:p>
    <w:p>
      <w:pPr>
        <w:pStyle w:val="Heading1"/>
      </w:pPr>
      <w:r>
        <w:t>本期要点总结</w:t>
      </w:r>
    </w:p>
    <w:p>
      <w:pPr>
        <w:pStyle w:val="ListBullet"/>
      </w:pPr>
      <w:r>
        <w:t>BMS 是测量 估算 决策 执行和确认的闭环</w:t>
      </w:r>
    </w:p>
    <w:p>
      <w:pPr>
        <w:pStyle w:val="ListBullet"/>
      </w:pPr>
      <w:r>
        <w:t>架构选择决定线束 通信 隔离和故障影响范围</w:t>
      </w:r>
    </w:p>
    <w:p>
      <w:pPr>
        <w:pStyle w:val="ListBullet"/>
      </w:pPr>
      <w:r>
        <w:t>状态估计必须携带有效性和误差边界</w:t>
      </w:r>
    </w:p>
    <w:p>
      <w:pPr>
        <w:pStyle w:val="ListBullet"/>
      </w:pPr>
      <w:r>
        <w:t>保护链应满足可量化的故障反应时间</w:t>
      </w:r>
    </w:p>
    <w:p>
      <w:pPr>
        <w:pStyle w:val="ListBullet"/>
      </w:pPr>
      <w:r>
        <w:t>验证要从单元测试延伸到 Pack 整车和现场数据</w:t>
      </w:r>
    </w:p>
    <w:p>
      <w:pPr>
        <w:pStyle w:val="Heading1"/>
      </w:pPr>
      <w:r>
        <w:t>思考题与答案</w:t>
      </w:r>
    </w:p>
    <w:p>
      <w:r>
        <w:t>先独立作答，再检查答案中的假设、单位和验证条件。</w:t>
      </w:r>
    </w:p>
    <w:p>
      <w:pPr>
        <w:numPr>
          <w:ilvl w:val="0"/>
          <w:numId w:val="17"/>
        </w:numPr>
      </w:pPr>
      <w:r>
        <w:t>BMS 最常直接测量哪些量</w:t>
      </w:r>
    </w:p>
    <w:p>
      <w:pPr>
        <w:numPr>
          <w:ilvl w:val="0"/>
          <w:numId w:val="17"/>
        </w:numPr>
      </w:pPr>
      <w:r>
        <w:t>为什么动态工况需要时间同步</w:t>
      </w:r>
    </w:p>
    <w:p>
      <w:pPr>
        <w:numPr>
          <w:ilvl w:val="0"/>
          <w:numId w:val="17"/>
        </w:numPr>
      </w:pPr>
      <w:r>
        <w:t>预充失败应检查哪些证据</w:t>
      </w:r>
    </w:p>
    <w:p>
      <w:pPr>
        <w:numPr>
          <w:ilvl w:val="0"/>
          <w:numId w:val="17"/>
        </w:numPr>
      </w:pPr>
      <w:r>
        <w:t>允许功率为什么取多个约束的最小值</w:t>
      </w:r>
    </w:p>
    <w:p>
      <w:pPr>
        <w:numPr>
          <w:ilvl w:val="0"/>
          <w:numId w:val="17"/>
        </w:numPr>
      </w:pPr>
      <w:r>
        <w:t>故障注入的价值是什么</w:t>
      </w:r>
    </w:p>
    <w:p>
      <w:pPr>
        <w:pStyle w:val="Heading2"/>
      </w:pPr>
      <w:r>
        <w:t>答案 1</w:t>
      </w:r>
    </w:p>
    <w:p>
      <w:r>
        <w:t>单体电压 Pack 电流 若干温度及绝缘或互锁相关信号</w:t>
      </w:r>
    </w:p>
    <w:p>
      <w:pPr>
        <w:pStyle w:val="Heading2"/>
      </w:pPr>
      <w:r>
        <w:t>答案 2</w:t>
      </w:r>
    </w:p>
    <w:p>
      <w:r>
        <w:t>不同步会把电流变化和电压响应错配 形成虚假残差</w:t>
      </w:r>
    </w:p>
    <w:p>
      <w:pPr>
        <w:pStyle w:val="Heading2"/>
      </w:pPr>
      <w:r>
        <w:t>答案 3</w:t>
      </w:r>
    </w:p>
    <w:p>
      <w:r>
        <w:t>母线电压上升 接触器反馈 电阻回路 负载电容和超时条件</w:t>
      </w:r>
    </w:p>
    <w:p>
      <w:pPr>
        <w:pStyle w:val="Heading2"/>
      </w:pPr>
      <w:r>
        <w:t>答案 4</w:t>
      </w:r>
    </w:p>
    <w:p>
      <w:r>
        <w:t>任何一个电压 温度 SOC 或故障边界越界都可能造成风险</w:t>
      </w:r>
    </w:p>
    <w:p>
      <w:pPr>
        <w:pStyle w:val="Heading2"/>
      </w:pPr>
      <w:r>
        <w:t>答案 5</w:t>
      </w:r>
    </w:p>
    <w:p>
      <w:r>
        <w:t>验证诊断能在规定时间识别真实故障 并对误差和通信异常安全降级</w:t>
      </w:r>
    </w:p>
    <w:p>
      <w:pPr>
        <w:pStyle w:val="Heading1"/>
      </w:pPr>
      <w:r>
        <w:t>下一期预告</w:t>
      </w:r>
    </w:p>
    <w:p>
      <w:r>
        <w:t>第 21 期将深入 SOC 估算 比较库仑积分 开路电压 等效电路与卡尔曼滤波的适用边界</w:t>
      </w:r>
    </w:p>
    <w:p>
      <w:pPr>
        <w:pStyle w:val="Heading1"/>
      </w:pPr>
      <w:r>
        <w:t>参考资料</w:t>
      </w:r>
    </w:p>
    <w:p>
      <w:r>
        <w:t>以下资料用于建立本期的工程框架。所有网页的访问日期均为 2026 年 9 月 22 日。</w:t>
      </w:r>
    </w:p>
    <w:p>
      <w:pPr>
        <w:pStyle w:val="ListBullet"/>
      </w:pPr>
      <w:r>
        <w:t>Argonne GREET Battery Management System Section  https://publications.anl.gov/anlpubs/2012/06/73645.pdf</w:t>
      </w:r>
    </w:p>
    <w:p>
      <w:pPr>
        <w:pStyle w:val="ListBullet"/>
      </w:pPr>
      <w:r>
        <w:t>Argonne Battery and Storage System Modeling Report  https://publications.anl.gov/anlpubs/2021/09/170551.pdf</w:t>
      </w:r>
    </w:p>
    <w:p>
      <w:pPr>
        <w:pStyle w:val="ListBullet"/>
      </w:pPr>
      <w:r>
        <w:t>NREL Modular Approach for Battery State and Lifetime Estimation  https://www.nrel.gov/docs/fy15osti/61263.pdf</w:t>
      </w:r>
    </w:p>
    <w:p>
      <w:pPr>
        <w:pStyle w:val="ListBullet"/>
      </w:pPr>
      <w:r>
        <w:t>DOE Electric Vehicle Battery Pack and BMS Overview  https://www.energy.gov/documents/chapter13-electricpdf</w:t>
      </w:r>
    </w:p>
    <w:p>
      <w:pPr>
        <w:pStyle w:val="ListBullet"/>
      </w:pPr>
      <w:r>
        <w:t>Sandia Functions of the BMS  https://www.osti.gov/servlets/purl/2585921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微软雅黑"/>
        <w:color w:val="000000"/>
        <w:sz w:val="18"/>
      </w:rPr>
      <w:t xml:space="preserve">2026-09-20  |  </w:t>
    </w: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 w:eastAsia="微软雅黑"/>
        <w:color w:val="000000"/>
        <w:sz w:val="18"/>
      </w:rPr>
      <w:t>动力电池深度学习计划 第 20 期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suff w:val="space"/>
      <w:pPr>
        <w:tabs>
          <w:tab w:val="num" w:pos="720"/>
        </w:tabs>
        <w:ind w:left="720" w:hanging="360"/>
      </w:p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suff w:val="space"/>
      <w:pPr>
        <w:tabs>
          <w:tab w:val="num" w:pos="720"/>
        </w:tabs>
        <w:ind w:left="720" w:hanging="360"/>
      </w:pPr>
    </w:lvl>
  </w:abstractNum>
  <w:num w:numId="11">
    <w:abstractNumId w:val="10"/>
  </w:num>
  <w:abstractNum w:abstractNumId="11">
    <w:multiLevelType w:val="singleLevel"/>
    <w:lvl w:ilvl="0">
      <w:start w:val="1"/>
      <w:numFmt w:val="decimal"/>
      <w:lvlText w:val="%1."/>
      <w:suff w:val="space"/>
      <w:pPr>
        <w:tabs>
          <w:tab w:val="num" w:pos="720"/>
        </w:tabs>
        <w:ind w:left="720" w:hanging="360"/>
      </w:pPr>
    </w:lvl>
  </w:abstractNum>
  <w:num w:numId="12">
    <w:abstractNumId w:val="11"/>
  </w:num>
  <w:abstractNum w:abstractNumId="12">
    <w:multiLevelType w:val="singleLevel"/>
    <w:lvl w:ilvl="0">
      <w:start w:val="1"/>
      <w:numFmt w:val="decimal"/>
      <w:lvlText w:val="%1."/>
      <w:suff w:val="space"/>
      <w:pPr>
        <w:tabs>
          <w:tab w:val="num" w:pos="720"/>
        </w:tabs>
        <w:ind w:left="720" w:hanging="360"/>
      </w:pPr>
    </w:lvl>
  </w:abstractNum>
  <w:num w:numId="13">
    <w:abstractNumId w:val="12"/>
  </w:num>
  <w:abstractNum w:abstractNumId="13">
    <w:multiLevelType w:val="singleLevel"/>
    <w:lvl w:ilvl="0">
      <w:start w:val="1"/>
      <w:numFmt w:val="decimal"/>
      <w:lvlText w:val="%1."/>
      <w:suff w:val="space"/>
      <w:pPr>
        <w:tabs>
          <w:tab w:val="num" w:pos="720"/>
        </w:tabs>
        <w:ind w:left="720" w:hanging="360"/>
      </w:pPr>
    </w:lvl>
  </w:abstractNum>
  <w:num w:numId="14">
    <w:abstractNumId w:val="13"/>
  </w:num>
  <w:abstractNum w:abstractNumId="14">
    <w:multiLevelType w:val="singleLevel"/>
    <w:lvl w:ilvl="0">
      <w:start w:val="1"/>
      <w:numFmt w:val="decimal"/>
      <w:lvlText w:val="%1."/>
      <w:suff w:val="space"/>
      <w:pPr>
        <w:tabs>
          <w:tab w:val="num" w:pos="720"/>
        </w:tabs>
        <w:ind w:left="720" w:hanging="360"/>
      </w:pPr>
    </w:lvl>
  </w:abstractNum>
  <w:num w:numId="15">
    <w:abstractNumId w:val="14"/>
  </w:num>
  <w:abstractNum w:abstractNumId="15">
    <w:multiLevelType w:val="singleLevel"/>
    <w:lvl w:ilvl="0">
      <w:start w:val="1"/>
      <w:numFmt w:val="decimal"/>
      <w:lvlText w:val="%1."/>
      <w:suff w:val="space"/>
      <w:pPr>
        <w:tabs>
          <w:tab w:val="num" w:pos="720"/>
        </w:tabs>
        <w:ind w:left="720" w:hanging="360"/>
      </w:pPr>
    </w:lvl>
  </w:abstractNum>
  <w:num w:numId="16">
    <w:abstractNumId w:val="15"/>
  </w:num>
  <w:abstractNum w:abstractNumId="16">
    <w:multiLevelType w:val="singleLevel"/>
    <w:lvl w:ilvl="0">
      <w:start w:val="1"/>
      <w:numFmt w:val="decimal"/>
      <w:lvlText w:val="%1."/>
      <w:suff w:val="space"/>
      <w:pPr>
        <w:tabs>
          <w:tab w:val="num" w:pos="720"/>
        </w:tabs>
        <w:ind w:left="720" w:hanging="360"/>
      </w:pPr>
    </w:lvl>
  </w:abstractNum>
  <w:num w:numId="17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300" w:lineRule="auto" w:after="120"/>
    </w:pPr>
    <w:rPr>
      <w:rFonts w:ascii="Microsoft YaHei" w:hAnsi="Microsoft YaHei" w:eastAsia="微软雅黑"/>
      <w:color w:val="24364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80" w:line="240" w:lineRule="auto"/>
      <w:contextualSpacing/>
    </w:pPr>
    <w:rPr>
      <w:rFonts w:asciiTheme="majorHAnsi" w:eastAsiaTheme="majorEastAsia" w:hAnsiTheme="majorHAnsi" w:cstheme="majorBidi" w:ascii="Microsoft YaHei" w:hAnsi="Microsoft YaHei" w:eastAsia="微软雅黑"/>
      <w:b/>
      <w:color w:val="000000"/>
      <w:spacing w:val="5"/>
      <w:kern w:val="28"/>
      <w:sz w:val="5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Microsoft YaHei" w:hAnsi="Microsoft YaHei" w:eastAsia="微软雅黑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Microsoft YaHei" w:hAnsi="Microsoft YaHei" w:eastAsia="微软雅黑"/>
      <w:b/>
      <w:bCs/>
      <w:color w:val="505E6E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BMS 系统架构与功能安全</dc:title>
  <dc:subject>从传感输入到保护执行的闭环设计</dc:subject>
  <dc:creator>Codex 动力电池深度学习计划</dc:creator>
  <cp:keywords>动力电池 BMS 架构 功能安全 采样 保护 通信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