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Title"/>
        <w:jc w:val="center"/>
      </w:pPr>
      <w:r>
        <w:t>热失控机理传播与预警</w:t>
      </w:r>
    </w:p>
    <w:p>
      <w:pPr>
        <w:jc w:val="center"/>
      </w:pPr>
      <w:r>
        <w:rPr>
          <w:b/>
          <w:color w:val="17365D"/>
          <w:sz w:val="30"/>
        </w:rPr>
        <w:t>触发 反应 放热 传播和系统处置</w:t>
      </w:r>
    </w:p>
    <w:p>
      <w:pPr>
        <w:jc w:val="center"/>
      </w:pPr>
      <w:r>
        <w:rPr>
          <w:color w:val="00A6A6"/>
          <w:sz w:val="22"/>
        </w:rPr>
        <w:t>第 27 期｜2026-09-27</w:t>
      </w:r>
    </w:p>
    <w:p/>
    <w:p>
      <w:pPr>
        <w:jc w:val="center"/>
      </w:pPr>
      <w:r>
        <w:rPr>
          <w:i/>
          <w:color w:val="24364B"/>
          <w:sz w:val="24"/>
        </w:rPr>
        <w:t>热失控安全需要同时管理触发概率 单体释放 邻近传播 排气路径和预警处置</w:t>
      </w:r>
    </w:p>
    <w:p>
      <w:r>
        <w:br w:type="page"/>
      </w:r>
    </w:p>
    <w:p>
      <w:pPr>
        <w:pStyle w:val="Heading1"/>
      </w:pPr>
      <w:r>
        <w:t>学习目标</w:t>
      </w:r>
    </w:p>
    <w:p>
      <w:r>
        <w:t>完成本期后，你应能把本期概念转化为可计算的边界、可观察的信号和可执行的验证步骤。</w:t>
      </w:r>
    </w:p>
    <w:p>
      <w:pPr>
        <w:numPr>
          <w:ilvl w:val="0"/>
          <w:numId w:val="18"/>
        </w:numPr>
      </w:pPr>
      <w:r>
        <w:t>解释内部短路和副反应形成自加速放热的条件</w:t>
      </w:r>
    </w:p>
    <w:p>
      <w:pPr>
        <w:numPr>
          <w:ilvl w:val="0"/>
          <w:numId w:val="18"/>
        </w:numPr>
      </w:pPr>
      <w:r>
        <w:t>区分热失控触发 单体释放和模组传播</w:t>
      </w:r>
    </w:p>
    <w:p>
      <w:pPr>
        <w:numPr>
          <w:ilvl w:val="0"/>
          <w:numId w:val="18"/>
        </w:numPr>
      </w:pPr>
      <w:r>
        <w:t>建立导热 对流 辐射和喷射物传播路径</w:t>
      </w:r>
    </w:p>
    <w:p>
      <w:pPr>
        <w:numPr>
          <w:ilvl w:val="0"/>
          <w:numId w:val="18"/>
        </w:numPr>
      </w:pPr>
      <w:r>
        <w:t>比较温度 电压 阻抗 气体与声学预警信号</w:t>
      </w:r>
    </w:p>
    <w:p>
      <w:pPr>
        <w:numPr>
          <w:ilvl w:val="0"/>
          <w:numId w:val="18"/>
        </w:numPr>
      </w:pPr>
      <w:r>
        <w:t>设计从电芯测试到 Pack 传播的分层验证</w:t>
      </w:r>
    </w:p>
    <w:p>
      <w:pPr>
        <w:pStyle w:val="Heading1"/>
      </w:pPr>
      <w:r>
        <w:t>系统总览</w:t>
      </w:r>
    </w:p>
    <w:p>
      <w:r>
        <w:t>热失控是电芯内部产热超过散热并触发一系列放热反应的自加速过程。过热 过充 机械损伤和内部短路都可能成为触发源，但触发方式会改变局部反应和释放路径。</w:t>
      </w:r>
    </w:p>
    <w:p>
      <w:r>
        <w:t>单体热失控不等于必然传播。传播取决于单体释放能量 相邻热耦合 间距 隔热 冷却 电连接和喷射方向。安全目标应明确是不传播 延迟传播还是保证人员撤离和系统隔离时间。</w:t>
      </w:r>
    </w:p>
    <w:p>
      <w:r>
        <w:t>NREL 和 Sandia 的研究强调，温度与电压可能是较晚信号，快速阻抗和气体等方法可提供更早标志，但复杂 Pack 会降低单体信号可辨识度。</w:t>
      </w:r>
    </w:p>
    <w:p>
      <w:pPr>
        <w:jc w:val="center"/>
      </w:pPr>
      <w:r>
        <w:drawing>
          <wp:inline xmlns:a="http://schemas.openxmlformats.org/drawingml/2006/main" xmlns:pic="http://schemas.openxmlformats.org/drawingml/2006/picture">
            <wp:extent cx="5806440" cy="3174187"/>
            <wp:docPr id="1" name="Picture 1" title="热失控危险链与防护层" descr="触发经过反应和释放导致传播 下方列出预防 缓解和处置三层措施"/>
            <wp:cNvGraphicFramePr>
              <a:graphicFrameLocks noChangeAspect="1"/>
            </wp:cNvGraphicFramePr>
            <a:graphic>
              <a:graphicData uri="http://schemas.openxmlformats.org/drawingml/2006/picture">
                <pic:pic>
                  <pic:nvPicPr>
                    <pic:cNvPr id="0" name="day27_diagram.png"/>
                    <pic:cNvPicPr/>
                  </pic:nvPicPr>
                  <pic:blipFill>
                    <a:blip r:embed="rId13"/>
                    <a:stretch>
                      <a:fillRect/>
                    </a:stretch>
                  </pic:blipFill>
                  <pic:spPr>
                    <a:xfrm>
                      <a:off x="0" y="0"/>
                      <a:ext cx="5806440" cy="3174187"/>
                    </a:xfrm>
                    <a:prstGeom prst="rect"/>
                  </pic:spPr>
                </pic:pic>
              </a:graphicData>
            </a:graphic>
          </wp:inline>
        </w:drawing>
      </w:r>
    </w:p>
    <w:p>
      <w:pPr>
        <w:pStyle w:val="Caption"/>
        <w:jc w:val="center"/>
      </w:pPr>
      <w:r>
        <w:t>图 1  热失控安全覆盖从触发前到传播后的完整危险链</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340"/>
        <w:gridCol w:w="2340"/>
        <w:gridCol w:w="2340"/>
        <w:gridCol w:w="2340"/>
      </w:tblGrid>
      <w:tr>
        <w:trPr>
          <w:tblHeader w:val="true"/>
        </w:trPr>
        <w:tc>
          <w:tcPr>
            <w:tcW w:type="dxa" w:w="1728"/>
            <w:shd w:fill="17365D"/>
            <w:tcMar>
              <w:top w:w="115" w:type="dxa"/>
              <w:start w:w="145" w:type="dxa"/>
              <w:bottom w:w="115" w:type="dxa"/>
              <w:end w:w="145" w:type="dxa"/>
            </w:tcMar>
            <w:vAlign w:val="center"/>
          </w:tcPr>
          <w:p>
            <w:pPr>
              <w:jc w:val="center"/>
            </w:pPr>
            <w:r>
              <w:rPr>
                <w:rFonts w:ascii="Microsoft YaHei" w:hAnsi="Microsoft YaHei" w:eastAsia="微软雅黑"/>
                <w:b/>
                <w:color w:val="FFFFFF"/>
              </w:rPr>
              <w:t>阶段</w:t>
            </w:r>
          </w:p>
        </w:tc>
        <w:tc>
          <w:tcPr>
            <w:tcW w:type="dxa" w:w="2520"/>
            <w:shd w:fill="17365D"/>
            <w:tcMar>
              <w:top w:w="115" w:type="dxa"/>
              <w:start w:w="145" w:type="dxa"/>
              <w:bottom w:w="115" w:type="dxa"/>
              <w:end w:w="145" w:type="dxa"/>
            </w:tcMar>
            <w:vAlign w:val="center"/>
          </w:tcPr>
          <w:p>
            <w:pPr>
              <w:jc w:val="center"/>
            </w:pPr>
            <w:r>
              <w:rPr>
                <w:rFonts w:ascii="Microsoft YaHei" w:hAnsi="Microsoft YaHei" w:eastAsia="微软雅黑"/>
                <w:b/>
                <w:color w:val="FFFFFF"/>
              </w:rPr>
              <w:t>可观察信号</w:t>
            </w:r>
          </w:p>
        </w:tc>
        <w:tc>
          <w:tcPr>
            <w:tcW w:type="dxa" w:w="2520"/>
            <w:shd w:fill="17365D"/>
            <w:tcMar>
              <w:top w:w="115" w:type="dxa"/>
              <w:start w:w="145" w:type="dxa"/>
              <w:bottom w:w="115" w:type="dxa"/>
              <w:end w:w="145" w:type="dxa"/>
            </w:tcMar>
            <w:vAlign w:val="center"/>
          </w:tcPr>
          <w:p>
            <w:pPr>
              <w:jc w:val="center"/>
            </w:pPr>
            <w:r>
              <w:rPr>
                <w:rFonts w:ascii="Microsoft YaHei" w:hAnsi="Microsoft YaHei" w:eastAsia="微软雅黑"/>
                <w:b/>
                <w:color w:val="FFFFFF"/>
              </w:rPr>
              <w:t>主要风险</w:t>
            </w:r>
          </w:p>
        </w:tc>
        <w:tc>
          <w:tcPr>
            <w:tcW w:type="dxa" w:w="2376"/>
            <w:shd w:fill="17365D"/>
            <w:tcMar>
              <w:top w:w="115" w:type="dxa"/>
              <w:start w:w="145" w:type="dxa"/>
              <w:bottom w:w="115" w:type="dxa"/>
              <w:end w:w="145" w:type="dxa"/>
            </w:tcMar>
            <w:vAlign w:val="center"/>
          </w:tcPr>
          <w:p>
            <w:pPr>
              <w:jc w:val="center"/>
            </w:pPr>
            <w:r>
              <w:rPr>
                <w:rFonts w:ascii="Microsoft YaHei" w:hAnsi="Microsoft YaHei" w:eastAsia="微软雅黑"/>
                <w:b/>
                <w:color w:val="FFFFFF"/>
              </w:rPr>
              <w:t>系统动作</w:t>
            </w:r>
          </w:p>
        </w:tc>
      </w:tr>
      <w:tr>
        <w:trPr>
          <w:cantSplit/>
        </w:trPr>
        <w:tc>
          <w:tcPr>
            <w:tcW w:type="dxa" w:w="1728"/>
            <w:tcMar>
              <w:top w:w="115" w:type="dxa"/>
              <w:start w:w="145" w:type="dxa"/>
              <w:bottom w:w="115" w:type="dxa"/>
              <w:end w:w="145" w:type="dxa"/>
            </w:tcMar>
            <w:vAlign w:val="center"/>
          </w:tcPr>
          <w:p>
            <w:pPr>
              <w:spacing w:after="0"/>
            </w:pPr>
            <w:r>
              <w:rPr>
                <w:rFonts w:ascii="Microsoft YaHei" w:hAnsi="Microsoft YaHei" w:eastAsia="微软雅黑"/>
                <w:color w:val="24364B"/>
                <w:sz w:val="18"/>
              </w:rPr>
              <w:t>潜伏异常</w:t>
            </w:r>
          </w:p>
        </w:tc>
        <w:tc>
          <w:tcPr>
            <w:tcW w:type="dxa" w:w="2520"/>
            <w:tcMar>
              <w:top w:w="115" w:type="dxa"/>
              <w:start w:w="145" w:type="dxa"/>
              <w:bottom w:w="115" w:type="dxa"/>
              <w:end w:w="145" w:type="dxa"/>
            </w:tcMar>
            <w:vAlign w:val="center"/>
          </w:tcPr>
          <w:p>
            <w:pPr>
              <w:spacing w:after="0"/>
            </w:pPr>
            <w:r>
              <w:rPr>
                <w:rFonts w:ascii="Microsoft YaHei" w:hAnsi="Microsoft YaHei" w:eastAsia="微软雅黑"/>
                <w:color w:val="24364B"/>
                <w:sz w:val="18"/>
              </w:rPr>
              <w:t>自放电 阻抗或微小热偏差</w:t>
            </w:r>
          </w:p>
        </w:tc>
        <w:tc>
          <w:tcPr>
            <w:tcW w:type="dxa" w:w="2520"/>
            <w:tcMar>
              <w:top w:w="115" w:type="dxa"/>
              <w:start w:w="145" w:type="dxa"/>
              <w:bottom w:w="115" w:type="dxa"/>
              <w:end w:w="145" w:type="dxa"/>
            </w:tcMar>
            <w:vAlign w:val="center"/>
          </w:tcPr>
          <w:p>
            <w:pPr>
              <w:spacing w:after="0"/>
            </w:pPr>
            <w:r>
              <w:rPr>
                <w:rFonts w:ascii="Microsoft YaHei" w:hAnsi="Microsoft YaHei" w:eastAsia="微软雅黑"/>
                <w:color w:val="24364B"/>
                <w:sz w:val="18"/>
              </w:rPr>
              <w:t>难区分正常波动</w:t>
            </w:r>
          </w:p>
        </w:tc>
        <w:tc>
          <w:tcPr>
            <w:tcW w:type="dxa" w:w="2376"/>
            <w:tcMar>
              <w:top w:w="115" w:type="dxa"/>
              <w:start w:w="145" w:type="dxa"/>
              <w:bottom w:w="115" w:type="dxa"/>
              <w:end w:w="145" w:type="dxa"/>
            </w:tcMar>
            <w:vAlign w:val="center"/>
          </w:tcPr>
          <w:p>
            <w:pPr>
              <w:spacing w:after="0"/>
            </w:pPr>
            <w:r>
              <w:rPr>
                <w:rFonts w:ascii="Microsoft YaHei" w:hAnsi="Microsoft YaHei" w:eastAsia="微软雅黑"/>
                <w:color w:val="24364B"/>
                <w:sz w:val="18"/>
              </w:rPr>
              <w:t>加强监控与限制工况</w:t>
            </w:r>
          </w:p>
        </w:tc>
      </w:tr>
      <w:tr>
        <w:trPr>
          <w:cantSplit/>
        </w:trPr>
        <w:tc>
          <w:tcPr>
            <w:tcW w:type="dxa" w:w="1728"/>
            <w:shd w:fill="F2F5F8"/>
            <w:tcMar>
              <w:top w:w="115" w:type="dxa"/>
              <w:start w:w="145" w:type="dxa"/>
              <w:bottom w:w="115" w:type="dxa"/>
              <w:end w:w="145" w:type="dxa"/>
            </w:tcMar>
            <w:vAlign w:val="center"/>
          </w:tcPr>
          <w:p>
            <w:pPr>
              <w:spacing w:after="0"/>
            </w:pPr>
            <w:r>
              <w:rPr>
                <w:rFonts w:ascii="Microsoft YaHei" w:hAnsi="Microsoft YaHei" w:eastAsia="微软雅黑"/>
                <w:color w:val="24364B"/>
                <w:sz w:val="18"/>
              </w:rPr>
              <w:t>临界前</w:t>
            </w:r>
          </w:p>
        </w:tc>
        <w:tc>
          <w:tcPr>
            <w:tcW w:type="dxa" w:w="2520"/>
            <w:shd w:fill="F2F5F8"/>
            <w:tcMar>
              <w:top w:w="115" w:type="dxa"/>
              <w:start w:w="145" w:type="dxa"/>
              <w:bottom w:w="115" w:type="dxa"/>
              <w:end w:w="145" w:type="dxa"/>
            </w:tcMar>
            <w:vAlign w:val="center"/>
          </w:tcPr>
          <w:p>
            <w:pPr>
              <w:spacing w:after="0"/>
            </w:pPr>
            <w:r>
              <w:rPr>
                <w:rFonts w:ascii="Microsoft YaHei" w:hAnsi="Microsoft YaHei" w:eastAsia="微软雅黑"/>
                <w:color w:val="24364B"/>
                <w:sz w:val="18"/>
              </w:rPr>
              <w:t>局部升温 气体 压力 声学变化</w:t>
            </w:r>
          </w:p>
        </w:tc>
        <w:tc>
          <w:tcPr>
            <w:tcW w:type="dxa" w:w="2520"/>
            <w:shd w:fill="F2F5F8"/>
            <w:tcMar>
              <w:top w:w="115" w:type="dxa"/>
              <w:start w:w="145" w:type="dxa"/>
              <w:bottom w:w="115" w:type="dxa"/>
              <w:end w:w="145" w:type="dxa"/>
            </w:tcMar>
            <w:vAlign w:val="center"/>
          </w:tcPr>
          <w:p>
            <w:pPr>
              <w:spacing w:after="0"/>
            </w:pPr>
            <w:r>
              <w:rPr>
                <w:rFonts w:ascii="Microsoft YaHei" w:hAnsi="Microsoft YaHei" w:eastAsia="微软雅黑"/>
                <w:color w:val="24364B"/>
                <w:sz w:val="18"/>
              </w:rPr>
              <w:t>预警时间短</w:t>
            </w:r>
          </w:p>
        </w:tc>
        <w:tc>
          <w:tcPr>
            <w:tcW w:type="dxa" w:w="2376"/>
            <w:shd w:fill="F2F5F8"/>
            <w:tcMar>
              <w:top w:w="115" w:type="dxa"/>
              <w:start w:w="145" w:type="dxa"/>
              <w:bottom w:w="115" w:type="dxa"/>
              <w:end w:w="145" w:type="dxa"/>
            </w:tcMar>
            <w:vAlign w:val="center"/>
          </w:tcPr>
          <w:p>
            <w:pPr>
              <w:spacing w:after="0"/>
            </w:pPr>
            <w:r>
              <w:rPr>
                <w:rFonts w:ascii="Microsoft YaHei" w:hAnsi="Microsoft YaHei" w:eastAsia="微软雅黑"/>
                <w:color w:val="24364B"/>
                <w:sz w:val="18"/>
              </w:rPr>
              <w:t>降额 冷却 报警</w:t>
            </w:r>
          </w:p>
        </w:tc>
      </w:tr>
      <w:tr>
        <w:trPr>
          <w:cantSplit/>
        </w:trPr>
        <w:tc>
          <w:tcPr>
            <w:tcW w:type="dxa" w:w="1728"/>
            <w:tcMar>
              <w:top w:w="115" w:type="dxa"/>
              <w:start w:w="145" w:type="dxa"/>
              <w:bottom w:w="115" w:type="dxa"/>
              <w:end w:w="145" w:type="dxa"/>
            </w:tcMar>
            <w:vAlign w:val="center"/>
          </w:tcPr>
          <w:p>
            <w:pPr>
              <w:spacing w:after="0"/>
            </w:pPr>
            <w:r>
              <w:rPr>
                <w:rFonts w:ascii="Microsoft YaHei" w:hAnsi="Microsoft YaHei" w:eastAsia="微软雅黑"/>
                <w:color w:val="24364B"/>
                <w:sz w:val="18"/>
              </w:rPr>
              <w:t>单体失控</w:t>
            </w:r>
          </w:p>
        </w:tc>
        <w:tc>
          <w:tcPr>
            <w:tcW w:type="dxa" w:w="2520"/>
            <w:tcMar>
              <w:top w:w="115" w:type="dxa"/>
              <w:start w:w="145" w:type="dxa"/>
              <w:bottom w:w="115" w:type="dxa"/>
              <w:end w:w="145" w:type="dxa"/>
            </w:tcMar>
            <w:vAlign w:val="center"/>
          </w:tcPr>
          <w:p>
            <w:pPr>
              <w:spacing w:after="0"/>
            </w:pPr>
            <w:r>
              <w:rPr>
                <w:rFonts w:ascii="Microsoft YaHei" w:hAnsi="Microsoft YaHei" w:eastAsia="微软雅黑"/>
                <w:color w:val="24364B"/>
                <w:sz w:val="18"/>
              </w:rPr>
              <w:t>快速温升 泄压 电压塌陷</w:t>
            </w:r>
          </w:p>
        </w:tc>
        <w:tc>
          <w:tcPr>
            <w:tcW w:type="dxa" w:w="2520"/>
            <w:tcMar>
              <w:top w:w="115" w:type="dxa"/>
              <w:start w:w="145" w:type="dxa"/>
              <w:bottom w:w="115" w:type="dxa"/>
              <w:end w:w="145" w:type="dxa"/>
            </w:tcMar>
            <w:vAlign w:val="center"/>
          </w:tcPr>
          <w:p>
            <w:pPr>
              <w:spacing w:after="0"/>
            </w:pPr>
            <w:r>
              <w:rPr>
                <w:rFonts w:ascii="Microsoft YaHei" w:hAnsi="Microsoft YaHei" w:eastAsia="微软雅黑"/>
                <w:color w:val="24364B"/>
                <w:sz w:val="18"/>
              </w:rPr>
              <w:t>喷射 火焰和毒气</w:t>
            </w:r>
          </w:p>
        </w:tc>
        <w:tc>
          <w:tcPr>
            <w:tcW w:type="dxa" w:w="2376"/>
            <w:tcMar>
              <w:top w:w="115" w:type="dxa"/>
              <w:start w:w="145" w:type="dxa"/>
              <w:bottom w:w="115" w:type="dxa"/>
              <w:end w:w="145" w:type="dxa"/>
            </w:tcMar>
            <w:vAlign w:val="center"/>
          </w:tcPr>
          <w:p>
            <w:pPr>
              <w:spacing w:after="0"/>
            </w:pPr>
            <w:r>
              <w:rPr>
                <w:rFonts w:ascii="Microsoft YaHei" w:hAnsi="Microsoft YaHei" w:eastAsia="微软雅黑"/>
                <w:color w:val="24364B"/>
                <w:sz w:val="18"/>
              </w:rPr>
              <w:t>断高压 排气与应急</w:t>
            </w:r>
          </w:p>
        </w:tc>
      </w:tr>
      <w:tr>
        <w:trPr>
          <w:cantSplit/>
        </w:trPr>
        <w:tc>
          <w:tcPr>
            <w:tcW w:type="dxa" w:w="1728"/>
            <w:shd w:fill="F2F5F8"/>
            <w:tcMar>
              <w:top w:w="115" w:type="dxa"/>
              <w:start w:w="145" w:type="dxa"/>
              <w:bottom w:w="115" w:type="dxa"/>
              <w:end w:w="145" w:type="dxa"/>
            </w:tcMar>
            <w:vAlign w:val="center"/>
          </w:tcPr>
          <w:p>
            <w:pPr>
              <w:spacing w:after="0"/>
            </w:pPr>
            <w:r>
              <w:rPr>
                <w:rFonts w:ascii="Microsoft YaHei" w:hAnsi="Microsoft YaHei" w:eastAsia="微软雅黑"/>
                <w:color w:val="24364B"/>
                <w:sz w:val="18"/>
              </w:rPr>
              <w:t>传播阶段</w:t>
            </w:r>
          </w:p>
        </w:tc>
        <w:tc>
          <w:tcPr>
            <w:tcW w:type="dxa" w:w="2520"/>
            <w:shd w:fill="F2F5F8"/>
            <w:tcMar>
              <w:top w:w="115" w:type="dxa"/>
              <w:start w:w="145" w:type="dxa"/>
              <w:bottom w:w="115" w:type="dxa"/>
              <w:end w:w="145" w:type="dxa"/>
            </w:tcMar>
            <w:vAlign w:val="center"/>
          </w:tcPr>
          <w:p>
            <w:pPr>
              <w:spacing w:after="0"/>
            </w:pPr>
            <w:r>
              <w:rPr>
                <w:rFonts w:ascii="Microsoft YaHei" w:hAnsi="Microsoft YaHei" w:eastAsia="微软雅黑"/>
                <w:color w:val="24364B"/>
                <w:sz w:val="18"/>
              </w:rPr>
              <w:t>相邻温升和连续事件</w:t>
            </w:r>
          </w:p>
        </w:tc>
        <w:tc>
          <w:tcPr>
            <w:tcW w:type="dxa" w:w="2520"/>
            <w:shd w:fill="F2F5F8"/>
            <w:tcMar>
              <w:top w:w="115" w:type="dxa"/>
              <w:start w:w="145" w:type="dxa"/>
              <w:bottom w:w="115" w:type="dxa"/>
              <w:end w:w="145" w:type="dxa"/>
            </w:tcMar>
            <w:vAlign w:val="center"/>
          </w:tcPr>
          <w:p>
            <w:pPr>
              <w:spacing w:after="0"/>
            </w:pPr>
            <w:r>
              <w:rPr>
                <w:rFonts w:ascii="Microsoft YaHei" w:hAnsi="Microsoft YaHei" w:eastAsia="微软雅黑"/>
                <w:color w:val="24364B"/>
                <w:sz w:val="18"/>
              </w:rPr>
              <w:t>模组或 Pack 扩展</w:t>
            </w:r>
          </w:p>
        </w:tc>
        <w:tc>
          <w:tcPr>
            <w:tcW w:type="dxa" w:w="2376"/>
            <w:shd w:fill="F2F5F8"/>
            <w:tcMar>
              <w:top w:w="115" w:type="dxa"/>
              <w:start w:w="145" w:type="dxa"/>
              <w:bottom w:w="115" w:type="dxa"/>
              <w:end w:w="145" w:type="dxa"/>
            </w:tcMar>
            <w:vAlign w:val="center"/>
          </w:tcPr>
          <w:p>
            <w:pPr>
              <w:spacing w:after="0"/>
            </w:pPr>
            <w:r>
              <w:rPr>
                <w:rFonts w:ascii="Microsoft YaHei" w:hAnsi="Microsoft YaHei" w:eastAsia="微软雅黑"/>
                <w:color w:val="24364B"/>
                <w:sz w:val="18"/>
              </w:rPr>
              <w:t>隔离 抑制 撤离</w:t>
            </w:r>
          </w:p>
        </w:tc>
      </w:tr>
    </w:tbl>
    <w:p/>
    <w:p>
      <w:pPr>
        <w:pStyle w:val="Heading1"/>
      </w:pPr>
      <w:r>
        <w:t>一 触发源与内部短路</w:t>
      </w:r>
    </w:p>
    <w:p>
      <w:r>
        <w:t>触发条件决定初始热点位置和反应速度</w:t>
      </w:r>
    </w:p>
    <w:p>
      <w:pPr>
        <w:pStyle w:val="Heading2"/>
      </w:pPr>
      <w:r>
        <w:t>1 1 电热机械触发</w:t>
      </w:r>
    </w:p>
    <w:p>
      <w:r>
        <w:t>过充会推动电极到不稳定电位，外部加热可触发材料分解，挤压或异物可能造成隔膜破坏和内部短路。</w:t>
      </w:r>
    </w:p>
    <w:p>
      <w:pPr>
        <w:pStyle w:val="Heading2"/>
      </w:pPr>
      <w:r>
        <w:t>1 2 潜伏制造缺陷</w:t>
      </w:r>
    </w:p>
    <w:p>
      <w:r>
        <w:t>金属颗粒 毛刺 对齐和隔膜缺陷可能长期潜伏。NREL 的内部短路触发器用于在可控位置和时间研究此类事件。</w:t>
      </w:r>
    </w:p>
    <w:p>
      <w:pPr>
        <w:jc w:val="center"/>
      </w:pPr>
      <m:oMathPara>
        <m:oMath>
          <m:r>
            <m:t>Qdot_short = V² / R_short</m:t>
          </m:r>
        </m:oMath>
      </m:oMathPara>
    </w:p>
    <w:p>
      <w:pPr>
        <w:pStyle w:val="Caption"/>
        <w:jc w:val="center"/>
      </w:pPr>
      <w:r>
        <w:t>式 1 简化短路发热 W 取决于局部电压 V 和短路电阻 ohm</w:t>
      </w:r>
    </w:p>
    <w:p>
      <w:pPr>
        <w:pStyle w:val="Heading1"/>
      </w:pPr>
      <w:r>
        <w:t>二 自加速反应链</w:t>
      </w:r>
    </w:p>
    <w:p>
      <w:r>
        <w:t>当反应放热增长快于散热 系统进入热不稳定</w:t>
      </w:r>
    </w:p>
    <w:p>
      <w:pPr>
        <w:pStyle w:val="Heading2"/>
      </w:pPr>
      <w:r>
        <w:t>2 1 界面和材料反应</w:t>
      </w:r>
    </w:p>
    <w:p>
      <w:r>
        <w:t>SEI 分解 负极与电解液反应 正极释氧或电解液氧化等过程在不同温区重叠，具体顺序依化学体系和状态而变。</w:t>
      </w:r>
    </w:p>
    <w:p>
      <w:pPr>
        <w:pStyle w:val="Heading2"/>
      </w:pPr>
      <w:r>
        <w:t>2 2 热平衡失稳</w:t>
      </w:r>
    </w:p>
    <w:p>
      <w:r>
        <w:t>升温提高反应速率，反应又继续放热形成正反馈。不能用单一温度代表所有化学体系的统一起点。</w:t>
      </w:r>
    </w:p>
    <w:p>
      <w:pPr>
        <w:jc w:val="center"/>
      </w:pPr>
      <m:oMathPara>
        <m:oMath>
          <m:r>
            <m:t>m c_p dT/dt = Qdot_gen − Qdot_loss</m:t>
          </m:r>
        </m:oMath>
      </m:oMathPara>
    </w:p>
    <w:p>
      <w:pPr>
        <w:pStyle w:val="Caption"/>
        <w:jc w:val="center"/>
      </w:pPr>
      <w:r>
        <w:t>式 2 左侧为储热率 右侧为产热与散热差</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120"/>
        <w:gridCol w:w="3120"/>
        <w:gridCol w:w="3120"/>
      </w:tblGrid>
      <w:tr>
        <w:trPr>
          <w:tblHeader w:val="true"/>
        </w:trPr>
        <w:tc>
          <w:tcPr>
            <w:tcW w:type="dxa" w:w="1872"/>
            <w:shd w:fill="17365D"/>
            <w:tcMar>
              <w:top w:w="115" w:type="dxa"/>
              <w:start w:w="145" w:type="dxa"/>
              <w:bottom w:w="115" w:type="dxa"/>
              <w:end w:w="145" w:type="dxa"/>
            </w:tcMar>
            <w:vAlign w:val="center"/>
          </w:tcPr>
          <w:p>
            <w:pPr>
              <w:jc w:val="center"/>
            </w:pPr>
            <w:r>
              <w:rPr>
                <w:rFonts w:ascii="Microsoft YaHei" w:hAnsi="Microsoft YaHei" w:eastAsia="微软雅黑"/>
                <w:b/>
                <w:color w:val="FFFFFF"/>
              </w:rPr>
              <w:t>因素</w:t>
            </w:r>
          </w:p>
        </w:tc>
        <w:tc>
          <w:tcPr>
            <w:tcW w:type="dxa" w:w="3240"/>
            <w:shd w:fill="17365D"/>
            <w:tcMar>
              <w:top w:w="115" w:type="dxa"/>
              <w:start w:w="145" w:type="dxa"/>
              <w:bottom w:w="115" w:type="dxa"/>
              <w:end w:w="145" w:type="dxa"/>
            </w:tcMar>
            <w:vAlign w:val="center"/>
          </w:tcPr>
          <w:p>
            <w:pPr>
              <w:jc w:val="center"/>
            </w:pPr>
            <w:r>
              <w:rPr>
                <w:rFonts w:ascii="Microsoft YaHei" w:hAnsi="Microsoft YaHei" w:eastAsia="微软雅黑"/>
                <w:b/>
                <w:color w:val="FFFFFF"/>
              </w:rPr>
              <w:t>对反应的影响</w:t>
            </w:r>
          </w:p>
        </w:tc>
        <w:tc>
          <w:tcPr>
            <w:tcW w:type="dxa" w:w="4248"/>
            <w:shd w:fill="17365D"/>
            <w:tcMar>
              <w:top w:w="115" w:type="dxa"/>
              <w:start w:w="145" w:type="dxa"/>
              <w:bottom w:w="115" w:type="dxa"/>
              <w:end w:w="145" w:type="dxa"/>
            </w:tcMar>
            <w:vAlign w:val="center"/>
          </w:tcPr>
          <w:p>
            <w:pPr>
              <w:jc w:val="center"/>
            </w:pPr>
            <w:r>
              <w:rPr>
                <w:rFonts w:ascii="Microsoft YaHei" w:hAnsi="Microsoft YaHei" w:eastAsia="微软雅黑"/>
                <w:b/>
                <w:color w:val="FFFFFF"/>
              </w:rPr>
              <w:t>工程含义</w:t>
            </w:r>
          </w:p>
        </w:tc>
      </w:tr>
      <w:tr>
        <w:trPr>
          <w:cantSplit/>
        </w:trPr>
        <w:tc>
          <w:tcPr>
            <w:tcW w:type="dxa" w:w="1872"/>
            <w:tcMar>
              <w:top w:w="115" w:type="dxa"/>
              <w:start w:w="145" w:type="dxa"/>
              <w:bottom w:w="115" w:type="dxa"/>
              <w:end w:w="145" w:type="dxa"/>
            </w:tcMar>
            <w:vAlign w:val="center"/>
          </w:tcPr>
          <w:p>
            <w:pPr>
              <w:spacing w:after="0"/>
            </w:pPr>
            <w:r>
              <w:rPr>
                <w:rFonts w:ascii="Microsoft YaHei" w:hAnsi="Microsoft YaHei" w:eastAsia="微软雅黑"/>
                <w:color w:val="24364B"/>
                <w:sz w:val="18"/>
              </w:rPr>
              <w:t>SOC</w:t>
            </w:r>
          </w:p>
        </w:tc>
        <w:tc>
          <w:tcPr>
            <w:tcW w:type="dxa" w:w="3240"/>
            <w:tcMar>
              <w:top w:w="115" w:type="dxa"/>
              <w:start w:w="145" w:type="dxa"/>
              <w:bottom w:w="115" w:type="dxa"/>
              <w:end w:w="145" w:type="dxa"/>
            </w:tcMar>
            <w:vAlign w:val="center"/>
          </w:tcPr>
          <w:p>
            <w:pPr>
              <w:spacing w:after="0"/>
            </w:pPr>
            <w:r>
              <w:rPr>
                <w:rFonts w:ascii="Microsoft YaHei" w:hAnsi="Microsoft YaHei" w:eastAsia="微软雅黑"/>
                <w:color w:val="24364B"/>
                <w:sz w:val="18"/>
              </w:rPr>
              <w:t>提高可反应能量和电极活性</w:t>
            </w:r>
          </w:p>
        </w:tc>
        <w:tc>
          <w:tcPr>
            <w:tcW w:type="dxa" w:w="4248"/>
            <w:tcMar>
              <w:top w:w="115" w:type="dxa"/>
              <w:start w:w="145" w:type="dxa"/>
              <w:bottom w:w="115" w:type="dxa"/>
              <w:end w:w="145" w:type="dxa"/>
            </w:tcMar>
            <w:vAlign w:val="center"/>
          </w:tcPr>
          <w:p>
            <w:pPr>
              <w:spacing w:after="0"/>
            </w:pPr>
            <w:r>
              <w:rPr>
                <w:rFonts w:ascii="Microsoft YaHei" w:hAnsi="Microsoft YaHei" w:eastAsia="微软雅黑"/>
                <w:color w:val="24364B"/>
                <w:sz w:val="18"/>
              </w:rPr>
              <w:t>最坏 SOC 验证</w:t>
            </w:r>
          </w:p>
        </w:tc>
      </w:tr>
      <w:tr>
        <w:trPr>
          <w:cantSplit/>
        </w:trPr>
        <w:tc>
          <w:tcPr>
            <w:tcW w:type="dxa" w:w="1872"/>
            <w:shd w:fill="F2F5F8"/>
            <w:tcMar>
              <w:top w:w="115" w:type="dxa"/>
              <w:start w:w="145" w:type="dxa"/>
              <w:bottom w:w="115" w:type="dxa"/>
              <w:end w:w="145" w:type="dxa"/>
            </w:tcMar>
            <w:vAlign w:val="center"/>
          </w:tcPr>
          <w:p>
            <w:pPr>
              <w:spacing w:after="0"/>
            </w:pPr>
            <w:r>
              <w:rPr>
                <w:rFonts w:ascii="Microsoft YaHei" w:hAnsi="Microsoft YaHei" w:eastAsia="微软雅黑"/>
                <w:color w:val="24364B"/>
                <w:sz w:val="18"/>
              </w:rPr>
              <w:t>化学体系</w:t>
            </w:r>
          </w:p>
        </w:tc>
        <w:tc>
          <w:tcPr>
            <w:tcW w:type="dxa" w:w="3240"/>
            <w:shd w:fill="F2F5F8"/>
            <w:tcMar>
              <w:top w:w="115" w:type="dxa"/>
              <w:start w:w="145" w:type="dxa"/>
              <w:bottom w:w="115" w:type="dxa"/>
              <w:end w:w="145" w:type="dxa"/>
            </w:tcMar>
            <w:vAlign w:val="center"/>
          </w:tcPr>
          <w:p>
            <w:pPr>
              <w:spacing w:after="0"/>
            </w:pPr>
            <w:r>
              <w:rPr>
                <w:rFonts w:ascii="Microsoft YaHei" w:hAnsi="Microsoft YaHei" w:eastAsia="微软雅黑"/>
                <w:color w:val="24364B"/>
                <w:sz w:val="18"/>
              </w:rPr>
              <w:t>改变释氧和放热路径</w:t>
            </w:r>
          </w:p>
        </w:tc>
        <w:tc>
          <w:tcPr>
            <w:tcW w:type="dxa" w:w="4248"/>
            <w:shd w:fill="F2F5F8"/>
            <w:tcMar>
              <w:top w:w="115" w:type="dxa"/>
              <w:start w:w="145" w:type="dxa"/>
              <w:bottom w:w="115" w:type="dxa"/>
              <w:end w:w="145" w:type="dxa"/>
            </w:tcMar>
            <w:vAlign w:val="center"/>
          </w:tcPr>
          <w:p>
            <w:pPr>
              <w:spacing w:after="0"/>
            </w:pPr>
            <w:r>
              <w:rPr>
                <w:rFonts w:ascii="Microsoft YaHei" w:hAnsi="Microsoft YaHei" w:eastAsia="微软雅黑"/>
                <w:color w:val="24364B"/>
                <w:sz w:val="18"/>
              </w:rPr>
              <w:t>不得跨体系直接排名</w:t>
            </w:r>
          </w:p>
        </w:tc>
      </w:tr>
      <w:tr>
        <w:trPr>
          <w:cantSplit/>
        </w:trPr>
        <w:tc>
          <w:tcPr>
            <w:tcW w:type="dxa" w:w="1872"/>
            <w:tcMar>
              <w:top w:w="115" w:type="dxa"/>
              <w:start w:w="145" w:type="dxa"/>
              <w:bottom w:w="115" w:type="dxa"/>
              <w:end w:w="145" w:type="dxa"/>
            </w:tcMar>
            <w:vAlign w:val="center"/>
          </w:tcPr>
          <w:p>
            <w:pPr>
              <w:spacing w:after="0"/>
            </w:pPr>
            <w:r>
              <w:rPr>
                <w:rFonts w:ascii="Microsoft YaHei" w:hAnsi="Microsoft YaHei" w:eastAsia="微软雅黑"/>
                <w:color w:val="24364B"/>
                <w:sz w:val="18"/>
              </w:rPr>
              <w:t>老化</w:t>
            </w:r>
          </w:p>
        </w:tc>
        <w:tc>
          <w:tcPr>
            <w:tcW w:type="dxa" w:w="3240"/>
            <w:tcMar>
              <w:top w:w="115" w:type="dxa"/>
              <w:start w:w="145" w:type="dxa"/>
              <w:bottom w:w="115" w:type="dxa"/>
              <w:end w:w="145" w:type="dxa"/>
            </w:tcMar>
            <w:vAlign w:val="center"/>
          </w:tcPr>
          <w:p>
            <w:pPr>
              <w:spacing w:after="0"/>
            </w:pPr>
            <w:r>
              <w:rPr>
                <w:rFonts w:ascii="Microsoft YaHei" w:hAnsi="Microsoft YaHei" w:eastAsia="微软雅黑"/>
                <w:color w:val="24364B"/>
                <w:sz w:val="18"/>
              </w:rPr>
              <w:t>改变阻抗 副产物和缺陷</w:t>
            </w:r>
          </w:p>
        </w:tc>
        <w:tc>
          <w:tcPr>
            <w:tcW w:type="dxa" w:w="4248"/>
            <w:tcMar>
              <w:top w:w="115" w:type="dxa"/>
              <w:start w:w="145" w:type="dxa"/>
              <w:bottom w:w="115" w:type="dxa"/>
              <w:end w:w="145" w:type="dxa"/>
            </w:tcMar>
            <w:vAlign w:val="center"/>
          </w:tcPr>
          <w:p>
            <w:pPr>
              <w:spacing w:after="0"/>
            </w:pPr>
            <w:r>
              <w:rPr>
                <w:rFonts w:ascii="Microsoft YaHei" w:hAnsi="Microsoft YaHei" w:eastAsia="微软雅黑"/>
                <w:color w:val="24364B"/>
                <w:sz w:val="18"/>
              </w:rPr>
              <w:t>寿命样件测试</w:t>
            </w:r>
          </w:p>
        </w:tc>
      </w:tr>
      <w:tr>
        <w:trPr>
          <w:cantSplit/>
        </w:trPr>
        <w:tc>
          <w:tcPr>
            <w:tcW w:type="dxa" w:w="1872"/>
            <w:shd w:fill="F2F5F8"/>
            <w:tcMar>
              <w:top w:w="115" w:type="dxa"/>
              <w:start w:w="145" w:type="dxa"/>
              <w:bottom w:w="115" w:type="dxa"/>
              <w:end w:w="145" w:type="dxa"/>
            </w:tcMar>
            <w:vAlign w:val="center"/>
          </w:tcPr>
          <w:p>
            <w:pPr>
              <w:spacing w:after="0"/>
            </w:pPr>
            <w:r>
              <w:rPr>
                <w:rFonts w:ascii="Microsoft YaHei" w:hAnsi="Microsoft YaHei" w:eastAsia="微软雅黑"/>
                <w:color w:val="24364B"/>
                <w:sz w:val="18"/>
              </w:rPr>
              <w:t>触发方式</w:t>
            </w:r>
          </w:p>
        </w:tc>
        <w:tc>
          <w:tcPr>
            <w:tcW w:type="dxa" w:w="3240"/>
            <w:shd w:fill="F2F5F8"/>
            <w:tcMar>
              <w:top w:w="115" w:type="dxa"/>
              <w:start w:w="145" w:type="dxa"/>
              <w:bottom w:w="115" w:type="dxa"/>
              <w:end w:w="145" w:type="dxa"/>
            </w:tcMar>
            <w:vAlign w:val="center"/>
          </w:tcPr>
          <w:p>
            <w:pPr>
              <w:spacing w:after="0"/>
            </w:pPr>
            <w:r>
              <w:rPr>
                <w:rFonts w:ascii="Microsoft YaHei" w:hAnsi="Microsoft YaHei" w:eastAsia="微软雅黑"/>
                <w:color w:val="24364B"/>
                <w:sz w:val="18"/>
              </w:rPr>
              <w:t>决定热点和破坏区域</w:t>
            </w:r>
          </w:p>
        </w:tc>
        <w:tc>
          <w:tcPr>
            <w:tcW w:type="dxa" w:w="4248"/>
            <w:shd w:fill="F2F5F8"/>
            <w:tcMar>
              <w:top w:w="115" w:type="dxa"/>
              <w:start w:w="145" w:type="dxa"/>
              <w:bottom w:w="115" w:type="dxa"/>
              <w:end w:w="145" w:type="dxa"/>
            </w:tcMar>
            <w:vAlign w:val="center"/>
          </w:tcPr>
          <w:p>
            <w:pPr>
              <w:spacing w:after="0"/>
            </w:pPr>
            <w:r>
              <w:rPr>
                <w:rFonts w:ascii="Microsoft YaHei" w:hAnsi="Microsoft YaHei" w:eastAsia="微软雅黑"/>
                <w:color w:val="24364B"/>
                <w:sz w:val="18"/>
              </w:rPr>
              <w:t>多种可重复触发</w:t>
            </w:r>
          </w:p>
        </w:tc>
      </w:tr>
    </w:tbl>
    <w:p/>
    <w:p>
      <w:pPr>
        <w:pStyle w:val="Heading1"/>
      </w:pPr>
      <w:r>
        <w:t>三 单体释放特征</w:t>
      </w:r>
    </w:p>
    <w:p>
      <w:r>
        <w:t>单体释放包含热量 气体 颗粒和压力</w:t>
      </w:r>
    </w:p>
    <w:p>
      <w:pPr>
        <w:pStyle w:val="Heading2"/>
      </w:pPr>
      <w:r>
        <w:t>3 1 热量与质量喷出</w:t>
      </w:r>
    </w:p>
    <w:p>
      <w:r>
        <w:t>分数热量计可区分留在电芯和随喷出物带走的能量。仅测壳体温度会低估喷射对邻近结构的影响。</w:t>
      </w:r>
    </w:p>
    <w:p>
      <w:pPr>
        <w:pStyle w:val="Heading2"/>
      </w:pPr>
      <w:r>
        <w:t>3 2 排气与燃烧</w:t>
      </w:r>
    </w:p>
    <w:p>
      <w:r>
        <w:t>泄压气体可能可燃并含有有害组分，是否点燃取决于混合 浓度 温度和点火源。排气路径应避免冲刷高压件和乘员区。</w:t>
      </w:r>
    </w:p>
    <w:p>
      <w:pPr>
        <w:jc w:val="center"/>
      </w:pPr>
      <m:oMathPara>
        <m:oMath>
          <m:r>
            <m:t>E_release = ∫ Qdot_release dt</m:t>
          </m:r>
        </m:oMath>
      </m:oMathPara>
    </w:p>
    <w:p>
      <w:pPr>
        <w:pStyle w:val="Caption"/>
        <w:jc w:val="center"/>
      </w:pPr>
      <w:r>
        <w:t>式 3 释放能量单位 J 或 kJ</w:t>
      </w:r>
    </w:p>
    <w:p>
      <w:pPr>
        <w:pStyle w:val="Heading1"/>
      </w:pPr>
      <w:r>
        <w:t>四 传播路径与阻断</w:t>
      </w:r>
    </w:p>
    <w:p>
      <w:r>
        <w:t>邻近电芯可通过多种热路径接收能量</w:t>
      </w:r>
    </w:p>
    <w:p>
      <w:pPr>
        <w:pStyle w:val="Heading2"/>
      </w:pPr>
      <w:r>
        <w:t>4 1 固体与表面传热</w:t>
      </w:r>
    </w:p>
    <w:p>
      <w:r>
        <w:t>电芯接触 导热垫 冷板和结构件传导热量，辐射与高温气体对流也会加热相邻单体。</w:t>
      </w:r>
    </w:p>
    <w:p>
      <w:pPr>
        <w:pStyle w:val="Heading2"/>
      </w:pPr>
      <w:r>
        <w:t>4 2 喷射物与电连接</w:t>
      </w:r>
    </w:p>
    <w:p>
      <w:r>
        <w:t>高温喷射物撞击邻近表面可快速传热，导电颗粒还可能造成二次短路。并联支路可能向故障单体回灌。</w:t>
      </w:r>
    </w:p>
    <w:p>
      <w:pPr>
        <w:jc w:val="center"/>
      </w:pPr>
      <m:oMathPara>
        <m:oMath>
          <m:r>
            <m:t>E_in,neighbor = ∫(Qdot_cond + Qdot_conv + Qdot_rad + Qdot_jet)dt</m:t>
          </m:r>
        </m:oMath>
      </m:oMathPara>
    </w:p>
    <w:p>
      <w:pPr>
        <w:pStyle w:val="Caption"/>
        <w:jc w:val="center"/>
      </w:pPr>
      <w:r>
        <w:t>式 4 邻近输入能量由多条路径叠加</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120"/>
        <w:gridCol w:w="3120"/>
        <w:gridCol w:w="3120"/>
      </w:tblGrid>
      <w:tr>
        <w:trPr>
          <w:tblHeader w:val="true"/>
        </w:trPr>
        <w:tc>
          <w:tcPr>
            <w:tcW w:type="dxa" w:w="1944"/>
            <w:shd w:fill="17365D"/>
            <w:tcMar>
              <w:top w:w="115" w:type="dxa"/>
              <w:start w:w="145" w:type="dxa"/>
              <w:bottom w:w="115" w:type="dxa"/>
              <w:end w:w="145" w:type="dxa"/>
            </w:tcMar>
            <w:vAlign w:val="center"/>
          </w:tcPr>
          <w:p>
            <w:pPr>
              <w:jc w:val="center"/>
            </w:pPr>
            <w:r>
              <w:rPr>
                <w:rFonts w:ascii="Microsoft YaHei" w:hAnsi="Microsoft YaHei" w:eastAsia="微软雅黑"/>
                <w:b/>
                <w:color w:val="FFFFFF"/>
              </w:rPr>
              <w:t>传播路径</w:t>
            </w:r>
          </w:p>
        </w:tc>
        <w:tc>
          <w:tcPr>
            <w:tcW w:type="dxa" w:w="3312"/>
            <w:shd w:fill="17365D"/>
            <w:tcMar>
              <w:top w:w="115" w:type="dxa"/>
              <w:start w:w="145" w:type="dxa"/>
              <w:bottom w:w="115" w:type="dxa"/>
              <w:end w:w="145" w:type="dxa"/>
            </w:tcMar>
            <w:vAlign w:val="center"/>
          </w:tcPr>
          <w:p>
            <w:pPr>
              <w:jc w:val="center"/>
            </w:pPr>
            <w:r>
              <w:rPr>
                <w:rFonts w:ascii="Microsoft YaHei" w:hAnsi="Microsoft YaHei" w:eastAsia="微软雅黑"/>
                <w:b/>
                <w:color w:val="FFFFFF"/>
              </w:rPr>
              <w:t>设计变量</w:t>
            </w:r>
          </w:p>
        </w:tc>
        <w:tc>
          <w:tcPr>
            <w:tcW w:type="dxa" w:w="4104"/>
            <w:shd w:fill="17365D"/>
            <w:tcMar>
              <w:top w:w="115" w:type="dxa"/>
              <w:start w:w="145" w:type="dxa"/>
              <w:bottom w:w="115" w:type="dxa"/>
              <w:end w:w="145" w:type="dxa"/>
            </w:tcMar>
            <w:vAlign w:val="center"/>
          </w:tcPr>
          <w:p>
            <w:pPr>
              <w:jc w:val="center"/>
            </w:pPr>
            <w:r>
              <w:rPr>
                <w:rFonts w:ascii="Microsoft YaHei" w:hAnsi="Microsoft YaHei" w:eastAsia="微软雅黑"/>
                <w:b/>
                <w:color w:val="FFFFFF"/>
              </w:rPr>
              <w:t>验证观测</w:t>
            </w:r>
          </w:p>
        </w:tc>
      </w:tr>
      <w:tr>
        <w:trPr>
          <w:cantSplit/>
        </w:trPr>
        <w:tc>
          <w:tcPr>
            <w:tcW w:type="dxa" w:w="1944"/>
            <w:tcMar>
              <w:top w:w="115" w:type="dxa"/>
              <w:start w:w="145" w:type="dxa"/>
              <w:bottom w:w="115" w:type="dxa"/>
              <w:end w:w="145" w:type="dxa"/>
            </w:tcMar>
            <w:vAlign w:val="center"/>
          </w:tcPr>
          <w:p>
            <w:pPr>
              <w:spacing w:after="0"/>
            </w:pPr>
            <w:r>
              <w:rPr>
                <w:rFonts w:ascii="Microsoft YaHei" w:hAnsi="Microsoft YaHei" w:eastAsia="微软雅黑"/>
                <w:color w:val="24364B"/>
                <w:sz w:val="18"/>
              </w:rPr>
              <w:t>传导</w:t>
            </w:r>
          </w:p>
        </w:tc>
        <w:tc>
          <w:tcPr>
            <w:tcW w:type="dxa" w:w="3312"/>
            <w:tcMar>
              <w:top w:w="115" w:type="dxa"/>
              <w:start w:w="145" w:type="dxa"/>
              <w:bottom w:w="115" w:type="dxa"/>
              <w:end w:w="145" w:type="dxa"/>
            </w:tcMar>
            <w:vAlign w:val="center"/>
          </w:tcPr>
          <w:p>
            <w:pPr>
              <w:spacing w:after="0"/>
            </w:pPr>
            <w:r>
              <w:rPr>
                <w:rFonts w:ascii="Microsoft YaHei" w:hAnsi="Microsoft YaHei" w:eastAsia="微软雅黑"/>
                <w:color w:val="24364B"/>
                <w:sz w:val="18"/>
              </w:rPr>
              <w:t>间距 隔热 冷板</w:t>
            </w:r>
          </w:p>
        </w:tc>
        <w:tc>
          <w:tcPr>
            <w:tcW w:type="dxa" w:w="4104"/>
            <w:tcMar>
              <w:top w:w="115" w:type="dxa"/>
              <w:start w:w="145" w:type="dxa"/>
              <w:bottom w:w="115" w:type="dxa"/>
              <w:end w:w="145" w:type="dxa"/>
            </w:tcMar>
            <w:vAlign w:val="center"/>
          </w:tcPr>
          <w:p>
            <w:pPr>
              <w:spacing w:after="0"/>
            </w:pPr>
            <w:r>
              <w:rPr>
                <w:rFonts w:ascii="Microsoft YaHei" w:hAnsi="Microsoft YaHei" w:eastAsia="微软雅黑"/>
                <w:color w:val="24364B"/>
                <w:sz w:val="18"/>
              </w:rPr>
              <w:t>热流与相邻升温</w:t>
            </w:r>
          </w:p>
        </w:tc>
      </w:tr>
      <w:tr>
        <w:trPr>
          <w:cantSplit/>
        </w:trPr>
        <w:tc>
          <w:tcPr>
            <w:tcW w:type="dxa" w:w="1944"/>
            <w:shd w:fill="F2F5F8"/>
            <w:tcMar>
              <w:top w:w="115" w:type="dxa"/>
              <w:start w:w="145" w:type="dxa"/>
              <w:bottom w:w="115" w:type="dxa"/>
              <w:end w:w="145" w:type="dxa"/>
            </w:tcMar>
            <w:vAlign w:val="center"/>
          </w:tcPr>
          <w:p>
            <w:pPr>
              <w:spacing w:after="0"/>
            </w:pPr>
            <w:r>
              <w:rPr>
                <w:rFonts w:ascii="Microsoft YaHei" w:hAnsi="Microsoft YaHei" w:eastAsia="微软雅黑"/>
                <w:color w:val="24364B"/>
                <w:sz w:val="18"/>
              </w:rPr>
              <w:t>对流与辐射</w:t>
            </w:r>
          </w:p>
        </w:tc>
        <w:tc>
          <w:tcPr>
            <w:tcW w:type="dxa" w:w="3312"/>
            <w:shd w:fill="F2F5F8"/>
            <w:tcMar>
              <w:top w:w="115" w:type="dxa"/>
              <w:start w:w="145" w:type="dxa"/>
              <w:bottom w:w="115" w:type="dxa"/>
              <w:end w:w="145" w:type="dxa"/>
            </w:tcMar>
            <w:vAlign w:val="center"/>
          </w:tcPr>
          <w:p>
            <w:pPr>
              <w:spacing w:after="0"/>
            </w:pPr>
            <w:r>
              <w:rPr>
                <w:rFonts w:ascii="Microsoft YaHei" w:hAnsi="Microsoft YaHei" w:eastAsia="微软雅黑"/>
                <w:color w:val="24364B"/>
                <w:sz w:val="18"/>
              </w:rPr>
              <w:t>通道 表面和上盖</w:t>
            </w:r>
          </w:p>
        </w:tc>
        <w:tc>
          <w:tcPr>
            <w:tcW w:type="dxa" w:w="4104"/>
            <w:shd w:fill="F2F5F8"/>
            <w:tcMar>
              <w:top w:w="115" w:type="dxa"/>
              <w:start w:w="145" w:type="dxa"/>
              <w:bottom w:w="115" w:type="dxa"/>
              <w:end w:w="145" w:type="dxa"/>
            </w:tcMar>
            <w:vAlign w:val="center"/>
          </w:tcPr>
          <w:p>
            <w:pPr>
              <w:spacing w:after="0"/>
            </w:pPr>
            <w:r>
              <w:rPr>
                <w:rFonts w:ascii="Microsoft YaHei" w:hAnsi="Microsoft YaHei" w:eastAsia="微软雅黑"/>
                <w:color w:val="24364B"/>
                <w:sz w:val="18"/>
              </w:rPr>
              <w:t>气体温度与辐射热流</w:t>
            </w:r>
          </w:p>
        </w:tc>
      </w:tr>
      <w:tr>
        <w:trPr>
          <w:cantSplit/>
        </w:trPr>
        <w:tc>
          <w:tcPr>
            <w:tcW w:type="dxa" w:w="1944"/>
            <w:tcMar>
              <w:top w:w="115" w:type="dxa"/>
              <w:start w:w="145" w:type="dxa"/>
              <w:bottom w:w="115" w:type="dxa"/>
              <w:end w:w="145" w:type="dxa"/>
            </w:tcMar>
            <w:vAlign w:val="center"/>
          </w:tcPr>
          <w:p>
            <w:pPr>
              <w:spacing w:after="0"/>
            </w:pPr>
            <w:r>
              <w:rPr>
                <w:rFonts w:ascii="Microsoft YaHei" w:hAnsi="Microsoft YaHei" w:eastAsia="微软雅黑"/>
                <w:color w:val="24364B"/>
                <w:sz w:val="18"/>
              </w:rPr>
              <w:t>喷射冲刷</w:t>
            </w:r>
          </w:p>
        </w:tc>
        <w:tc>
          <w:tcPr>
            <w:tcW w:type="dxa" w:w="3312"/>
            <w:tcMar>
              <w:top w:w="115" w:type="dxa"/>
              <w:start w:w="145" w:type="dxa"/>
              <w:bottom w:w="115" w:type="dxa"/>
              <w:end w:w="145" w:type="dxa"/>
            </w:tcMar>
            <w:vAlign w:val="center"/>
          </w:tcPr>
          <w:p>
            <w:pPr>
              <w:spacing w:after="0"/>
            </w:pPr>
            <w:r>
              <w:rPr>
                <w:rFonts w:ascii="Microsoft YaHei" w:hAnsi="Microsoft YaHei" w:eastAsia="微软雅黑"/>
                <w:color w:val="24364B"/>
                <w:sz w:val="18"/>
              </w:rPr>
              <w:t>泄压方向 挡板</w:t>
            </w:r>
          </w:p>
        </w:tc>
        <w:tc>
          <w:tcPr>
            <w:tcW w:type="dxa" w:w="4104"/>
            <w:tcMar>
              <w:top w:w="115" w:type="dxa"/>
              <w:start w:w="145" w:type="dxa"/>
              <w:bottom w:w="115" w:type="dxa"/>
              <w:end w:w="145" w:type="dxa"/>
            </w:tcMar>
            <w:vAlign w:val="center"/>
          </w:tcPr>
          <w:p>
            <w:pPr>
              <w:spacing w:after="0"/>
            </w:pPr>
            <w:r>
              <w:rPr>
                <w:rFonts w:ascii="Microsoft YaHei" w:hAnsi="Microsoft YaHei" w:eastAsia="微软雅黑"/>
                <w:color w:val="24364B"/>
                <w:sz w:val="18"/>
              </w:rPr>
              <w:t>冲击位置和二次短路</w:t>
            </w:r>
          </w:p>
        </w:tc>
      </w:tr>
      <w:tr>
        <w:trPr>
          <w:cantSplit/>
        </w:trPr>
        <w:tc>
          <w:tcPr>
            <w:tcW w:type="dxa" w:w="1944"/>
            <w:shd w:fill="F2F5F8"/>
            <w:tcMar>
              <w:top w:w="115" w:type="dxa"/>
              <w:start w:w="145" w:type="dxa"/>
              <w:bottom w:w="115" w:type="dxa"/>
              <w:end w:w="145" w:type="dxa"/>
            </w:tcMar>
            <w:vAlign w:val="center"/>
          </w:tcPr>
          <w:p>
            <w:pPr>
              <w:spacing w:after="0"/>
            </w:pPr>
            <w:r>
              <w:rPr>
                <w:rFonts w:ascii="Microsoft YaHei" w:hAnsi="Microsoft YaHei" w:eastAsia="微软雅黑"/>
                <w:color w:val="24364B"/>
                <w:sz w:val="18"/>
              </w:rPr>
              <w:t>电气回灌</w:t>
            </w:r>
          </w:p>
        </w:tc>
        <w:tc>
          <w:tcPr>
            <w:tcW w:type="dxa" w:w="3312"/>
            <w:shd w:fill="F2F5F8"/>
            <w:tcMar>
              <w:top w:w="115" w:type="dxa"/>
              <w:start w:w="145" w:type="dxa"/>
              <w:bottom w:w="115" w:type="dxa"/>
              <w:end w:w="145" w:type="dxa"/>
            </w:tcMar>
            <w:vAlign w:val="center"/>
          </w:tcPr>
          <w:p>
            <w:pPr>
              <w:spacing w:after="0"/>
            </w:pPr>
            <w:r>
              <w:rPr>
                <w:rFonts w:ascii="Microsoft YaHei" w:hAnsi="Microsoft YaHei" w:eastAsia="微软雅黑"/>
                <w:color w:val="24364B"/>
                <w:sz w:val="18"/>
              </w:rPr>
              <w:t>并联拓扑 熔断</w:t>
            </w:r>
          </w:p>
        </w:tc>
        <w:tc>
          <w:tcPr>
            <w:tcW w:type="dxa" w:w="4104"/>
            <w:shd w:fill="F2F5F8"/>
            <w:tcMar>
              <w:top w:w="115" w:type="dxa"/>
              <w:start w:w="145" w:type="dxa"/>
              <w:bottom w:w="115" w:type="dxa"/>
              <w:end w:w="145" w:type="dxa"/>
            </w:tcMar>
            <w:vAlign w:val="center"/>
          </w:tcPr>
          <w:p>
            <w:pPr>
              <w:spacing w:after="0"/>
            </w:pPr>
            <w:r>
              <w:rPr>
                <w:rFonts w:ascii="Microsoft YaHei" w:hAnsi="Microsoft YaHei" w:eastAsia="微软雅黑"/>
                <w:color w:val="24364B"/>
                <w:sz w:val="18"/>
              </w:rPr>
              <w:t>故障电流与切断时间</w:t>
            </w:r>
          </w:p>
        </w:tc>
      </w:tr>
    </w:tbl>
    <w:p/>
    <w:p>
      <w:pPr>
        <w:pStyle w:val="Heading1"/>
      </w:pPr>
      <w:r>
        <w:t>五 预警信号与时间窗</w:t>
      </w:r>
    </w:p>
    <w:p>
      <w:r>
        <w:t>预警价值取决于领先时间 可靠性和可执行动作</w:t>
      </w:r>
    </w:p>
    <w:p>
      <w:pPr>
        <w:pStyle w:val="Heading2"/>
      </w:pPr>
      <w:r>
        <w:t>5 1 常规信号</w:t>
      </w:r>
    </w:p>
    <w:p>
      <w:r>
        <w:t>电压塌陷和温度上升易获取，但温度传感器位置和热惯性可能让报警出现较晚。温升速率可补充绝对阈值。</w:t>
      </w:r>
    </w:p>
    <w:p>
      <w:pPr>
        <w:pStyle w:val="Heading2"/>
      </w:pPr>
      <w:r>
        <w:t>5 2 新型信号</w:t>
      </w:r>
    </w:p>
    <w:p>
      <w:r>
        <w:t>快速 EIS 气体 压力 声学和应变可更早发现部分异常，但传感器成本 包内传播和故障可靠性需要验证。</w:t>
      </w:r>
    </w:p>
    <w:p>
      <w:pPr>
        <w:jc w:val="center"/>
      </w:pPr>
      <m:oMathPara>
        <m:oMath>
          <m:r>
            <m:t>t_warning = t_hazard − t_detect</m:t>
          </m:r>
        </m:oMath>
      </m:oMathPara>
    </w:p>
    <w:p>
      <w:pPr>
        <w:pStyle w:val="Caption"/>
        <w:jc w:val="center"/>
      </w:pPr>
      <w:r>
        <w:t>式 5 预警时间必须大于决策和执行所需时间</w:t>
      </w:r>
    </w:p>
    <w:p>
      <w:pPr>
        <w:pStyle w:val="Heading1"/>
      </w:pPr>
      <w:r>
        <w:t>六 BMS 与系统处置</w:t>
      </w:r>
    </w:p>
    <w:p>
      <w:r>
        <w:t>预警只有转化为可执行动作才有安全价值</w:t>
      </w:r>
    </w:p>
    <w:p>
      <w:pPr>
        <w:pStyle w:val="Heading2"/>
      </w:pPr>
      <w:r>
        <w:t>6 1 分级动作</w:t>
      </w:r>
    </w:p>
    <w:p>
      <w:r>
        <w:t>可疑异常可限制快充或功率，确认危险后断开高压 强化冷却 发出乘员或运维报警。动作需考虑车辆继续行驶风险。</w:t>
      </w:r>
    </w:p>
    <w:p>
      <w:pPr>
        <w:pStyle w:val="Heading2"/>
      </w:pPr>
      <w:r>
        <w:t>6 2 处置反馈</w:t>
      </w:r>
    </w:p>
    <w:p>
      <w:r>
        <w:t>断开接触器不能停止电芯内部反应。系统要确认高压隔离 排气通道和相邻温度趋势，并把应急信息传给上层。</w:t>
      </w:r>
    </w:p>
    <w:p>
      <w:pPr>
        <w:jc w:val="center"/>
      </w:pPr>
      <m:oMathPara>
        <m:oMath>
          <m:r>
            <m:t>t_total = t_detect + t_confirm + t_actuate</m:t>
          </m:r>
        </m:oMath>
      </m:oMathPara>
    </w:p>
    <w:p>
      <w:pPr>
        <w:pStyle w:val="Caption"/>
        <w:jc w:val="center"/>
      </w:pPr>
      <w:r>
        <w:t>式 6 总响应时间应小于可用预警时间</w:t>
      </w:r>
    </w:p>
    <w:p>
      <w:pPr>
        <w:pStyle w:val="Heading1"/>
      </w:pPr>
      <w:r>
        <w:t>七 安全试验与统计</w:t>
      </w:r>
    </w:p>
    <w:p>
      <w:r>
        <w:t>热失控具有样品差异 单次试验不足以建立传播概率</w:t>
      </w:r>
    </w:p>
    <w:p>
      <w:pPr>
        <w:pStyle w:val="Heading2"/>
      </w:pPr>
      <w:r>
        <w:t>7 1 分层测试</w:t>
      </w:r>
    </w:p>
    <w:p>
      <w:r>
        <w:t>从单体量热和触发试验到子阵列传播 Pack 排气和整车防护逐层验证，保持 SOC 约束 冷却和电连接真实。</w:t>
      </w:r>
    </w:p>
    <w:p>
      <w:pPr>
        <w:pStyle w:val="Heading2"/>
      </w:pPr>
      <w:r>
        <w:t>7 2 变异性与边界</w:t>
      </w:r>
    </w:p>
    <w:p>
      <w:r>
        <w:t>NREL 的 Battery Failure Databank 支持比较不同样品的释放行为。项目仍需用自身电芯和结构建立统计分布与最坏边界。</w:t>
      </w:r>
    </w:p>
    <w:p>
      <w:pPr>
        <w:pStyle w:val="Heading1"/>
      </w:pPr>
      <w:r>
        <w:t>工程检查表</w:t>
      </w:r>
    </w:p>
    <w:p>
      <w:r>
        <w:t>热安全评审前检查以下五项</w:t>
      </w:r>
    </w:p>
    <w:p>
      <w:pPr>
        <w:numPr>
          <w:ilvl w:val="0"/>
          <w:numId w:val="19"/>
        </w:numPr>
      </w:pPr>
      <w:r>
        <w:t>触发源 SOC 化学体系和老化状态是否明确</w:t>
      </w:r>
    </w:p>
    <w:p>
      <w:pPr>
        <w:numPr>
          <w:ilvl w:val="0"/>
          <w:numId w:val="19"/>
        </w:numPr>
      </w:pPr>
      <w:r>
        <w:t>单体释放是否量化热 气体 喷射物和压力</w:t>
      </w:r>
    </w:p>
    <w:p>
      <w:pPr>
        <w:numPr>
          <w:ilvl w:val="0"/>
          <w:numId w:val="19"/>
        </w:numPr>
      </w:pPr>
      <w:r>
        <w:t>传播试验是否包含真实电连接 冷却和排气边界</w:t>
      </w:r>
    </w:p>
    <w:p>
      <w:pPr>
        <w:numPr>
          <w:ilvl w:val="0"/>
          <w:numId w:val="19"/>
        </w:numPr>
      </w:pPr>
      <w:r>
        <w:t>预警信号的领先时间 误报和故障可靠性是否验证</w:t>
      </w:r>
    </w:p>
    <w:p>
      <w:pPr>
        <w:numPr>
          <w:ilvl w:val="0"/>
          <w:numId w:val="19"/>
        </w:numPr>
      </w:pPr>
      <w:r>
        <w:t>系统动作是否覆盖断高压 排气 相邻监控和人员处置</w:t>
      </w:r>
    </w:p>
    <w:p>
      <w:pPr>
        <w:pStyle w:val="Heading1"/>
      </w:pPr>
      <w:r>
        <w:t>案例推演</w:t>
      </w:r>
    </w:p>
    <w:p>
      <w:r>
        <w:t>场景 Pack 在碰撞后无明显电压异常 20 分钟后局部温度开始持续升高</w:t>
      </w:r>
    </w:p>
    <w:p>
      <w:r>
        <w:t>潜在内部损伤可能未立即短路 后续松弛或结构位移使缺陷发展</w:t>
      </w:r>
    </w:p>
    <w:p>
      <w:pPr>
        <w:numPr>
          <w:ilvl w:val="0"/>
          <w:numId w:val="20"/>
        </w:numPr>
      </w:pPr>
      <w:r>
        <w:t>维持安全隔离并持续记录多点温度 电压 绝缘和气体</w:t>
      </w:r>
    </w:p>
    <w:p>
      <w:pPr>
        <w:numPr>
          <w:ilvl w:val="0"/>
          <w:numId w:val="20"/>
        </w:numPr>
      </w:pPr>
      <w:r>
        <w:t>比较温升速率和邻近传感空间模式而非只看绝对温度</w:t>
      </w:r>
    </w:p>
    <w:p>
      <w:pPr>
        <w:numPr>
          <w:ilvl w:val="0"/>
          <w:numId w:val="20"/>
        </w:numPr>
      </w:pPr>
      <w:r>
        <w:t>检查碰撞载荷路径和受损区域是否对应潜在电芯</w:t>
      </w:r>
    </w:p>
    <w:p>
      <w:pPr>
        <w:numPr>
          <w:ilvl w:val="0"/>
          <w:numId w:val="20"/>
        </w:numPr>
      </w:pPr>
      <w:r>
        <w:t>按预案限制人员接近并准备定向排气与灭火处置</w:t>
      </w:r>
    </w:p>
    <w:p>
      <w:pPr>
        <w:numPr>
          <w:ilvl w:val="0"/>
          <w:numId w:val="20"/>
        </w:numPr>
      </w:pPr>
      <w:r>
        <w:t>事后用成像和拆解确认内部损伤并更新诊断阈值</w:t>
      </w:r>
    </w:p>
    <w:p>
      <w:r>
        <w:t>碰撞后的无即时报警不能证明内部完好，延迟监控和安全隔离是必要措施。</w:t>
      </w:r>
    </w:p>
    <w:p>
      <w:pPr>
        <w:pStyle w:val="Heading1"/>
      </w:pPr>
      <w:r>
        <w:t>常见误区</w:t>
      </w:r>
    </w:p>
    <w:p>
      <w:r>
        <w:t>以下判断忽略了关键边界。复盘时应先补齐对象、工况和可验证证据。</w:t>
      </w:r>
    </w:p>
    <w:p>
      <w:pPr>
        <w:pStyle w:val="Heading2"/>
      </w:pPr>
      <w:r>
        <w:t>误区 1 没有明火就没有热失控风险</w:t>
      </w:r>
    </w:p>
    <w:p>
      <w:r>
        <w:t>电芯可能先泄压或冒烟 后续才点燃</w:t>
      </w:r>
    </w:p>
    <w:p>
      <w:pPr>
        <w:pStyle w:val="Heading2"/>
      </w:pPr>
      <w:r>
        <w:t>误区 2 断开接触器即可停止失控</w:t>
      </w:r>
    </w:p>
    <w:p>
      <w:r>
        <w:t>内部化学反应不依赖外部回路</w:t>
      </w:r>
    </w:p>
    <w:p>
      <w:pPr>
        <w:pStyle w:val="Heading2"/>
      </w:pPr>
      <w:r>
        <w:t>误区 3 温度传感器一定最早报警</w:t>
      </w:r>
    </w:p>
    <w:p>
      <w:r>
        <w:t>位置和热惯性可能让温度成为滞后信号</w:t>
      </w:r>
    </w:p>
    <w:p>
      <w:pPr>
        <w:pStyle w:val="Heading2"/>
      </w:pPr>
      <w:r>
        <w:t>误区 4 一次不传播试验足以证明安全</w:t>
      </w:r>
    </w:p>
    <w:p>
      <w:r>
        <w:t>样品和触发差异要求重复和边界覆盖</w:t>
      </w:r>
    </w:p>
    <w:p>
      <w:pPr>
        <w:pStyle w:val="Heading2"/>
      </w:pPr>
      <w:r>
        <w:t>误区 5 LFP 不会热失控</w:t>
      </w:r>
    </w:p>
    <w:p>
      <w:r>
        <w:t>不同体系严重度不同 但仍需防止内部短路 产气和传播</w:t>
      </w:r>
    </w:p>
    <w:p>
      <w:pPr>
        <w:pStyle w:val="Heading1"/>
      </w:pPr>
      <w:r>
        <w:t>本期要点总结</w:t>
      </w:r>
    </w:p>
    <w:p>
      <w:pPr>
        <w:pStyle w:val="ListBullet"/>
      </w:pPr>
      <w:r>
        <w:t>热失控是产热超过散热的自加速过程</w:t>
      </w:r>
    </w:p>
    <w:p>
      <w:pPr>
        <w:pStyle w:val="ListBullet"/>
      </w:pPr>
      <w:r>
        <w:t>触发 释放和传播应分别量化</w:t>
      </w:r>
    </w:p>
    <w:p>
      <w:pPr>
        <w:pStyle w:val="ListBullet"/>
      </w:pPr>
      <w:r>
        <w:t>喷射和电气回灌是重要传播路径</w:t>
      </w:r>
    </w:p>
    <w:p>
      <w:pPr>
        <w:pStyle w:val="ListBullet"/>
      </w:pPr>
      <w:r>
        <w:t>预警需要领先时间和可执行动作</w:t>
      </w:r>
    </w:p>
    <w:p>
      <w:pPr>
        <w:pStyle w:val="ListBullet"/>
      </w:pPr>
      <w:r>
        <w:t>安全验证必须覆盖变异性和系统边界</w:t>
      </w:r>
    </w:p>
    <w:p>
      <w:pPr>
        <w:pStyle w:val="Heading1"/>
      </w:pPr>
      <w:r>
        <w:t>思考题与答案</w:t>
      </w:r>
    </w:p>
    <w:p>
      <w:r>
        <w:t>先独立作答，再检查答案中的假设、单位和验证条件。</w:t>
      </w:r>
    </w:p>
    <w:p>
      <w:pPr>
        <w:numPr>
          <w:ilvl w:val="0"/>
          <w:numId w:val="21"/>
        </w:numPr>
      </w:pPr>
      <w:r>
        <w:t>热失控为什么会自加速</w:t>
      </w:r>
    </w:p>
    <w:p>
      <w:pPr>
        <w:numPr>
          <w:ilvl w:val="0"/>
          <w:numId w:val="21"/>
        </w:numPr>
      </w:pPr>
      <w:r>
        <w:t>单体失控为什么不一定传播</w:t>
      </w:r>
    </w:p>
    <w:p>
      <w:pPr>
        <w:numPr>
          <w:ilvl w:val="0"/>
          <w:numId w:val="21"/>
        </w:numPr>
      </w:pPr>
      <w:r>
        <w:t>断高压后为什么仍需监控</w:t>
      </w:r>
    </w:p>
    <w:p>
      <w:pPr>
        <w:numPr>
          <w:ilvl w:val="0"/>
          <w:numId w:val="21"/>
        </w:numPr>
      </w:pPr>
      <w:r>
        <w:t>预警信号的关键指标是什么</w:t>
      </w:r>
    </w:p>
    <w:p>
      <w:pPr>
        <w:numPr>
          <w:ilvl w:val="0"/>
          <w:numId w:val="21"/>
        </w:numPr>
      </w:pPr>
      <w:r>
        <w:t>传播试验为什么要保留真实电连接</w:t>
      </w:r>
    </w:p>
    <w:p>
      <w:pPr>
        <w:pStyle w:val="Heading2"/>
      </w:pPr>
      <w:r>
        <w:t>答案 1</w:t>
      </w:r>
    </w:p>
    <w:p>
      <w:r>
        <w:t>升温提高反应速率 反应放热又继续升温</w:t>
      </w:r>
    </w:p>
    <w:p>
      <w:pPr>
        <w:pStyle w:val="Heading2"/>
      </w:pPr>
      <w:r>
        <w:t>答案 2</w:t>
      </w:r>
    </w:p>
    <w:p>
      <w:r>
        <w:t>邻近输入能量可能低于其触发阈值</w:t>
      </w:r>
    </w:p>
    <w:p>
      <w:pPr>
        <w:pStyle w:val="Heading2"/>
      </w:pPr>
      <w:r>
        <w:t>答案 3</w:t>
      </w:r>
    </w:p>
    <w:p>
      <w:r>
        <w:t>电芯内部反应可能继续并向邻近传播</w:t>
      </w:r>
    </w:p>
    <w:p>
      <w:pPr>
        <w:pStyle w:val="Heading2"/>
      </w:pPr>
      <w:r>
        <w:t>答案 4</w:t>
      </w:r>
    </w:p>
    <w:p>
      <w:r>
        <w:t>领先时间 检出率 误报率和传感器故障可靠性</w:t>
      </w:r>
    </w:p>
    <w:p>
      <w:pPr>
        <w:pStyle w:val="Heading2"/>
      </w:pPr>
      <w:r>
        <w:t>答案 5</w:t>
      </w:r>
    </w:p>
    <w:p>
      <w:r>
        <w:t>并联回灌和连接结构会改变故障能量与热路径</w:t>
      </w:r>
    </w:p>
    <w:p>
      <w:pPr>
        <w:pStyle w:val="Heading1"/>
      </w:pPr>
      <w:r>
        <w:t>下一期预告</w:t>
      </w:r>
    </w:p>
    <w:p>
      <w:r>
        <w:t>第 28 期将学习快充机理边界和控制策略 重点分析析锂 极化 发热与充电曲线</w:t>
      </w:r>
    </w:p>
    <w:p>
      <w:pPr>
        <w:pStyle w:val="Heading1"/>
      </w:pPr>
      <w:r>
        <w:t>参考资料</w:t>
      </w:r>
    </w:p>
    <w:p>
      <w:r>
        <w:t>以下资料用于建立本期的工程框架。所有网页的访问日期均为 2026 年 9 月 29 日。</w:t>
      </w:r>
    </w:p>
    <w:p>
      <w:pPr>
        <w:pStyle w:val="ListBullet"/>
      </w:pPr>
      <w:r>
        <w:t>NREL Starting With Safety  https://www.nrel.gov/news/detail/program/2024/starting-with-safety-nrel-approach-streamlines-early-stage-battery-development</w:t>
      </w:r>
    </w:p>
    <w:p>
      <w:pPr>
        <w:pStyle w:val="ListBullet"/>
      </w:pPr>
      <w:r>
        <w:t>NREL Internal Short Circuit Device  https://www.nrel.gov/grid/news/features/2015/21589</w:t>
      </w:r>
    </w:p>
    <w:p>
      <w:pPr>
        <w:pStyle w:val="ListBullet"/>
      </w:pPr>
      <w:r>
        <w:t>NREL Prevention of Thermal Runaway  https://www.nrel.gov/news/program/2021/nrel-nasa-european-researchers-reveal-path-to-safer-lithium-ion-batteries.html</w:t>
      </w:r>
    </w:p>
    <w:p>
      <w:pPr>
        <w:pStyle w:val="ListBullet"/>
      </w:pPr>
      <w:r>
        <w:t>Sandia Early Detection of Thermal Runaway  https://www.sandia.gov/research/publications/details/early-detection-of-li-ion-battery-thermal-runaway-using-commercial-diagnost-2024-02-01/</w:t>
      </w:r>
    </w:p>
    <w:p>
      <w:pPr>
        <w:pStyle w:val="ListBullet"/>
      </w:pPr>
      <w:r>
        <w:t>Sandia Battery Safety Research  https://ecn.sandia.gov/battery-safety/</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微软雅黑"/>
        <w:color w:val="000000"/>
        <w:sz w:val="18"/>
      </w:rPr>
      <w:t xml:space="preserve">2026-09-27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YaHei" w:hAnsi="Microsoft YaHei" w:eastAsia="微软雅黑"/>
        <w:color w:val="000000"/>
        <w:sz w:val="18"/>
      </w:rPr>
      <w:t>动力电池深度学习计划 第 27 期</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space"/>
      <w:pPr>
        <w:tabs>
          <w:tab w:val="num" w:pos="720"/>
        </w:tabs>
        <w:ind w:left="720" w:hanging="360"/>
      </w:pPr>
    </w:lvl>
  </w:abstractNum>
  <w:num w:numId="10">
    <w:abstractNumId w:val="9"/>
  </w:num>
  <w:abstractNum w:abstractNumId="10">
    <w:multiLevelType w:val="singleLevel"/>
    <w:lvl w:ilvl="0">
      <w:start w:val="1"/>
      <w:numFmt w:val="decimal"/>
      <w:lvlText w:val="%1."/>
      <w:suff w:val="space"/>
      <w:pPr>
        <w:tabs>
          <w:tab w:val="num" w:pos="720"/>
        </w:tabs>
        <w:ind w:left="720" w:hanging="360"/>
      </w:pPr>
    </w:lvl>
  </w:abstractNum>
  <w:num w:numId="11">
    <w:abstractNumId w:val="10"/>
  </w:num>
  <w:abstractNum w:abstractNumId="11">
    <w:multiLevelType w:val="singleLevel"/>
    <w:lvl w:ilvl="0">
      <w:start w:val="1"/>
      <w:numFmt w:val="decimal"/>
      <w:lvlText w:val="%1."/>
      <w:suff w:val="space"/>
      <w:pPr>
        <w:tabs>
          <w:tab w:val="num" w:pos="720"/>
        </w:tabs>
        <w:ind w:left="720" w:hanging="360"/>
      </w:pPr>
    </w:lvl>
  </w:abstractNum>
  <w:num w:numId="12">
    <w:abstractNumId w:val="11"/>
  </w:num>
  <w:abstractNum w:abstractNumId="12">
    <w:multiLevelType w:val="singleLevel"/>
    <w:lvl w:ilvl="0">
      <w:start w:val="1"/>
      <w:numFmt w:val="decimal"/>
      <w:lvlText w:val="%1."/>
      <w:suff w:val="space"/>
      <w:pPr>
        <w:tabs>
          <w:tab w:val="num" w:pos="720"/>
        </w:tabs>
        <w:ind w:left="720" w:hanging="360"/>
      </w:pPr>
    </w:lvl>
  </w:abstractNum>
  <w:num w:numId="13">
    <w:abstractNumId w:val="12"/>
  </w:num>
  <w:abstractNum w:abstractNumId="13">
    <w:multiLevelType w:val="singleLevel"/>
    <w:lvl w:ilvl="0">
      <w:start w:val="1"/>
      <w:numFmt w:val="decimal"/>
      <w:lvlText w:val="%1."/>
      <w:suff w:val="space"/>
      <w:pPr>
        <w:tabs>
          <w:tab w:val="num" w:pos="720"/>
        </w:tabs>
        <w:ind w:left="720" w:hanging="360"/>
      </w:pPr>
    </w:lvl>
  </w:abstractNum>
  <w:num w:numId="14">
    <w:abstractNumId w:val="13"/>
  </w:num>
  <w:abstractNum w:abstractNumId="14">
    <w:multiLevelType w:val="singleLevel"/>
    <w:lvl w:ilvl="0">
      <w:start w:val="1"/>
      <w:numFmt w:val="decimal"/>
      <w:lvlText w:val="%1."/>
      <w:suff w:val="space"/>
      <w:pPr>
        <w:tabs>
          <w:tab w:val="num" w:pos="720"/>
        </w:tabs>
        <w:ind w:left="720" w:hanging="360"/>
      </w:pPr>
    </w:lvl>
  </w:abstractNum>
  <w:num w:numId="15">
    <w:abstractNumId w:val="14"/>
  </w:num>
  <w:abstractNum w:abstractNumId="15">
    <w:multiLevelType w:val="singleLevel"/>
    <w:lvl w:ilvl="0">
      <w:start w:val="1"/>
      <w:numFmt w:val="decimal"/>
      <w:lvlText w:val="%1."/>
      <w:suff w:val="space"/>
      <w:pPr>
        <w:tabs>
          <w:tab w:val="num" w:pos="720"/>
        </w:tabs>
        <w:ind w:left="720" w:hanging="360"/>
      </w:pPr>
    </w:lvl>
  </w:abstractNum>
  <w:num w:numId="16">
    <w:abstractNumId w:val="15"/>
  </w:num>
  <w:abstractNum w:abstractNumId="16">
    <w:multiLevelType w:val="singleLevel"/>
    <w:lvl w:ilvl="0">
      <w:start w:val="1"/>
      <w:numFmt w:val="decimal"/>
      <w:lvlText w:val="%1."/>
      <w:suff w:val="space"/>
      <w:pPr>
        <w:tabs>
          <w:tab w:val="num" w:pos="720"/>
        </w:tabs>
        <w:ind w:left="720" w:hanging="360"/>
      </w:pPr>
    </w:lvl>
  </w:abstractNum>
  <w:num w:numId="17">
    <w:abstractNumId w:val="16"/>
  </w:num>
  <w:abstractNum w:abstractNumId="17">
    <w:multiLevelType w:val="singleLevel"/>
    <w:lvl w:ilvl="0">
      <w:start w:val="1"/>
      <w:numFmt w:val="decimal"/>
      <w:lvlText w:val="%1."/>
      <w:suff w:val="space"/>
      <w:pPr>
        <w:tabs>
          <w:tab w:val="num" w:pos="720"/>
        </w:tabs>
        <w:ind w:left="720" w:hanging="360"/>
      </w:pPr>
    </w:lvl>
  </w:abstractNum>
  <w:num w:numId="18">
    <w:abstractNumId w:val="17"/>
  </w:num>
  <w:abstractNum w:abstractNumId="18">
    <w:multiLevelType w:val="singleLevel"/>
    <w:lvl w:ilvl="0">
      <w:start w:val="1"/>
      <w:numFmt w:val="decimal"/>
      <w:lvlText w:val="%1."/>
      <w:suff w:val="space"/>
      <w:pPr>
        <w:tabs>
          <w:tab w:val="num" w:pos="720"/>
        </w:tabs>
        <w:ind w:left="720" w:hanging="360"/>
      </w:pPr>
    </w:lvl>
  </w:abstractNum>
  <w:num w:numId="19">
    <w:abstractNumId w:val="18"/>
  </w:num>
  <w:abstractNum w:abstractNumId="19">
    <w:multiLevelType w:val="singleLevel"/>
    <w:lvl w:ilvl="0">
      <w:start w:val="1"/>
      <w:numFmt w:val="decimal"/>
      <w:lvlText w:val="%1."/>
      <w:suff w:val="space"/>
      <w:pPr>
        <w:tabs>
          <w:tab w:val="num" w:pos="720"/>
        </w:tabs>
        <w:ind w:left="720" w:hanging="360"/>
      </w:pPr>
    </w:lvl>
  </w:abstractNum>
  <w:num w:numId="20">
    <w:abstractNumId w:val="19"/>
  </w:num>
  <w:abstractNum w:abstractNumId="20">
    <w:multiLevelType w:val="singleLevel"/>
    <w:lvl w:ilvl="0">
      <w:start w:val="1"/>
      <w:numFmt w:val="decimal"/>
      <w:lvlText w:val="%1."/>
      <w:suff w:val="space"/>
      <w:pPr>
        <w:tabs>
          <w:tab w:val="num" w:pos="720"/>
        </w:tabs>
        <w:ind w:left="720" w:hanging="360"/>
      </w:pPr>
    </w:lvl>
  </w:abstract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0" w:lineRule="auto" w:after="120"/>
    </w:pPr>
    <w:rPr>
      <w:rFonts w:ascii="Microsoft YaHei" w:hAnsi="Microsoft YaHei" w:eastAsia="微软雅黑"/>
      <w:color w:val="24364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Microsoft YaHei" w:hAnsi="Microsoft YaHei" w:eastAsia="微软雅黑"/>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Microsoft YaHei" w:hAnsi="Microsoft YaHei" w:eastAsia="微软雅黑"/>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Microsoft YaHei" w:hAnsi="Microsoft YaHei" w:eastAsia="微软雅黑"/>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80" w:line="240" w:lineRule="auto"/>
      <w:contextualSpacing/>
    </w:pPr>
    <w:rPr>
      <w:rFonts w:asciiTheme="majorHAnsi" w:eastAsiaTheme="majorEastAsia" w:hAnsiTheme="majorHAnsi" w:cstheme="majorBidi" w:ascii="Microsoft YaHei" w:hAnsi="Microsoft YaHei" w:eastAsia="微软雅黑"/>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微软雅黑"/>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Microsoft YaHei" w:hAnsi="Microsoft YaHei" w:eastAsia="微软雅黑"/>
      <w:b/>
      <w:bCs/>
      <w:color w:val="505E6E"/>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热失控机理传播与预警</dc:title>
  <dc:subject>触发 反应 放热 传播和系统处置</dc:subject>
  <dc:creator>Codex 动力电池深度学习计划</dc:creator>
  <cp:keywords>动力电池 热失控 传播 预警 安全</cp:keywords>
  <dc:description>generated by python-docx</dc:description>
  <cp:lastModifiedBy/>
  <cp:revision>1</cp:revision>
  <dcterms:created xsi:type="dcterms:W3CDTF">2013-12-23T23:15:00Z</dcterms:created>
  <dcterms:modified xsi:type="dcterms:W3CDTF">2013-12-23T23:15:00Z</dcterms:modified>
  <cp:category/>
</cp:coreProperties>
</file>