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58"/>
        </w:rPr>
        <w:t>加速寿命试验与模型外推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000000"/>
          <w:sz w:val="24"/>
        </w:rPr>
        <w:t>试验矩阵 机理一致性与预测不确定性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000000"/>
          <w:sz w:val="20"/>
        </w:rPr>
        <w:t>60天动力电池深度学习  第 31 期  2026-10-01</w:t>
      </w:r>
    </w:p>
    <w:p>
      <w:pPr>
        <w:spacing w:before="280"/>
      </w:pPr>
      <w:r>
        <w:t>本期讨论如何用有限时间的加速试验支持多年寿命判断。关键工作不是单纯提高温度或倍率，而是设计可识别的试验矩阵、保持主导机理一致，并用独立工况检验模型能否离开训练点。</w:t>
      </w:r>
    </w:p>
    <w:p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核心判断  </w:t>
      </w:r>
      <w:r>
        <w:rPr>
          <w:rFonts w:ascii="Microsoft YaHei" w:hAnsi="Microsoft YaHei" w:eastAsia="Microsoft YaHei" w:cs="Microsoft YaHei"/>
          <w:color w:val="000000"/>
          <w:sz w:val="22"/>
        </w:rPr>
        <w:t>加速因子只有在退化机理不变时才具有可解释性；寿命模型必须用未参与拟合的条件验证，并报告预测区间。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 xml:space="preserve">关键词  </w:t>
      </w:r>
      <w:r>
        <w:rPr>
          <w:rFonts w:ascii="Microsoft YaHei" w:hAnsi="Microsoft YaHei" w:eastAsia="Microsoft YaHei" w:cs="Microsoft YaHei"/>
          <w:color w:val="000000"/>
          <w:sz w:val="20"/>
        </w:rPr>
        <w:t>动力电池 加速寿命 Arrhenius 试验设计 RPT 外推 不确定性</w:t>
      </w:r>
    </w:p>
    <w:p>
      <w:pPr>
        <w:pStyle w:val="Heading1"/>
      </w:pPr>
      <w:r>
        <w:t>学习目标</w:t>
      </w:r>
    </w:p>
    <w:p>
      <w:r>
        <w:t>完成本期后，你应能把概念转化为可计算指标、可执行试验和可追溯判断。</w:t>
      </w:r>
    </w:p>
    <w:p>
      <w:pPr>
        <w:numPr>
          <w:ilvl w:val="0"/>
          <w:numId w:val="18"/>
        </w:numPr>
        <w:ind w:left="432" w:hanging="288"/>
      </w:pPr>
      <w:r>
        <w:t>区分加速试验的时间压缩与机理改变</w:t>
      </w:r>
    </w:p>
    <w:p>
      <w:pPr>
        <w:numPr>
          <w:ilvl w:val="0"/>
          <w:numId w:val="18"/>
        </w:numPr>
        <w:ind w:left="432" w:hanging="288"/>
      </w:pPr>
      <w:r>
        <w:t>设计覆盖温度 SOC DOD 倍率的寿命矩阵</w:t>
      </w:r>
    </w:p>
    <w:p>
      <w:pPr>
        <w:numPr>
          <w:ilvl w:val="0"/>
          <w:numId w:val="18"/>
        </w:numPr>
        <w:ind w:left="432" w:hanging="288"/>
      </w:pPr>
      <w:r>
        <w:t>安排不会过度干扰样本的参考性能测试</w:t>
      </w:r>
    </w:p>
    <w:p>
      <w:pPr>
        <w:numPr>
          <w:ilvl w:val="0"/>
          <w:numId w:val="18"/>
        </w:numPr>
        <w:ind w:left="432" w:hanging="288"/>
      </w:pPr>
      <w:r>
        <w:t>用训练 验证和外部工况评估模型外推</w:t>
      </w:r>
    </w:p>
    <w:p>
      <w:pPr>
        <w:numPr>
          <w:ilvl w:val="0"/>
          <w:numId w:val="18"/>
        </w:numPr>
        <w:ind w:left="432" w:hanging="288"/>
      </w:pPr>
      <w:r>
        <w:t>将预测区间和决策裕量纳入寿命结论</w:t>
      </w:r>
    </w:p>
    <w:p>
      <w:pPr>
        <w:pStyle w:val="Heading1"/>
      </w:pPr>
      <w:r>
        <w:t>系统总览</w:t>
      </w:r>
    </w:p>
    <w:p>
      <w:r>
        <w:t>动力电池目标寿命常以年或数千次循环计，完整实时间验证无法满足开发节奏。加速试验通过提高反应速率或增加有效吞吐缩短观察时间，但加速条件必须仍代表真实使用中的同类损伤过程。</w:t>
      </w:r>
    </w:p>
    <w:p>
      <w:r>
        <w:t>温度、SOC、DOD、充放电倍率、休息比例和热边界彼此耦合。若一次改变多个因素且缺少对照，就难以判断寿命差异来自哪个应力，也难以把模型迁移到新工况。</w:t>
      </w:r>
    </w:p>
    <w:p>
      <w:r>
        <w:t>NREL 的公开寿命研究表明，日历与循环过程需要分别参数化并在复杂工况中验证。机器学习可以拟合非线性，但在远期外推时仍可能产生很大的寿命差异，必须提供物理约束和不确定性。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加速寿命模型的闭环流程" descr="从定义寿命任务开始，经过试验矩阵、模型拟合和独立验证，最终输出带不确定性的寿命决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1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加速试验只有经过独立验证才能支持外推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设计变量</w:t>
            </w:r>
          </w:p>
        </w:tc>
        <w:tc>
          <w:tcPr>
            <w:tcW w:type="dxa" w:w="223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典型水平</w:t>
            </w:r>
          </w:p>
        </w:tc>
        <w:tc>
          <w:tcPr>
            <w:tcW w:type="dxa" w:w="280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主要影响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混杂风险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温度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低 常温 高温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反应速率 传输和析锂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跨机理转换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平均SOC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低 中 高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电极电位和静置副反应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与DOD耦合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DOD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浅 中 深循环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材料应力和吞吐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循环时间不同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倍率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充电与放电分开设置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极化 发热和析锂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温升改变实际条件</w:t>
            </w:r>
          </w:p>
        </w:tc>
      </w:tr>
    </w:tbl>
    <w:p>
      <w:pPr>
        <w:spacing w:after="40"/>
      </w:pPr>
    </w:p>
    <w:p>
      <w:pPr>
        <w:pStyle w:val="Heading1"/>
      </w:pPr>
      <w:r>
        <w:t>一 加速原则与机理一致性</w:t>
      </w:r>
    </w:p>
    <w:p>
      <w:r>
        <w:t>加速试验要提高可观测速度，同时保持与使用工况相同的主导退化路径。</w:t>
      </w:r>
    </w:p>
    <w:p>
      <w:pPr>
        <w:pStyle w:val="Heading2"/>
      </w:pPr>
      <w:r>
        <w:t>1 1 反应速率加速</w:t>
      </w:r>
    </w:p>
    <w:p>
      <w:r>
        <w:t>Arrhenius关系常用于描述化学反应速率随绝对温度变化。它适用于一定温区和相同控制步骤，活化能通常由数据拟合而非任意指定。</w:t>
      </w:r>
    </w:p>
    <w:p>
      <w:r>
        <w:t>电芯温度应使用样本实际温度，而非只记录环境箱设定值。循环发热会使不同倍率样本处于不同的真实温度。</w:t>
      </w:r>
    </w:p>
    <w:p>
      <w:pPr>
        <w:pStyle w:val="Heading2"/>
      </w:pPr>
      <w:r>
        <w:t>1 2 机理转换检查</w:t>
      </w:r>
    </w:p>
    <w:p>
      <w:r>
        <w:t>高温可能加强界面和电解液副反应，低温高倍率则可能引入析锂。把两类数据放入同一温度加速因子会得到错误外推。</w:t>
      </w:r>
    </w:p>
    <w:p>
      <w:r>
        <w:t>机理一致性可通过容量曲线、阻抗、库仑效率、热信号和拆解观察确认。若特征发生突变，应分段建模或缩小条件范围。</w:t>
      </w:r>
    </w:p>
    <w:p>
      <w:pPr>
        <w:jc w:val="center"/>
      </w:pPr>
      <m:oMathPara>
        <m:oMath>
          <m:r>
            <m:t>AF = exp[(E_a / R)(1 / T_use − 1 / T_test)]</m:t>
          </m:r>
        </m:oMath>
      </m:oMathPara>
    </w:p>
    <w:p>
      <w:pPr>
        <w:pStyle w:val="Caption"/>
        <w:jc w:val="center"/>
      </w:pPr>
      <w:r>
        <w:t>式 1  AF 为无量纲加速因子；E_a 单位 J/mol；R 为8.314 J/(mol·K)；T_use 与 T_test 单位 K</w:t>
      </w:r>
    </w:p>
    <w:p>
      <w:pPr>
        <w:pStyle w:val="Heading1"/>
      </w:pPr>
      <w:r>
        <w:t>二 试验矩阵与样本分配</w:t>
      </w:r>
    </w:p>
    <w:p>
      <w:r>
        <w:t>试验矩阵要能分离主效应和关键交互项，并保留独立验证样本。</w:t>
      </w:r>
    </w:p>
    <w:p>
      <w:pPr>
        <w:pStyle w:val="Heading2"/>
      </w:pPr>
      <w:r>
        <w:t>2 1 因子与水平</w:t>
      </w:r>
    </w:p>
    <w:p>
      <w:r>
        <w:t>日历试验通常控制温度和SOC，循环试验还需控制SOC窗口、充放电倍率、休息时间和冷却条件。关键因素应设多个水平以识别非线性。</w:t>
      </w:r>
    </w:p>
    <w:p>
      <w:r>
        <w:t>平均SOC与DOD不能混为一谈。相同DOD位于不同SOC区间时，电极电位和副反应条件不同。</w:t>
      </w:r>
    </w:p>
    <w:p>
      <w:pPr>
        <w:pStyle w:val="Heading2"/>
      </w:pPr>
      <w:r>
        <w:t>2 2 重复样本与随机化</w:t>
      </w:r>
    </w:p>
    <w:p>
      <w:r>
        <w:t>每个条件需要重复样本以估计电芯离散和测试噪声。若资源有限，应优先保留关键边界和验证点，而不是铺开大量单样本条件。</w:t>
      </w:r>
    </w:p>
    <w:p>
      <w:r>
        <w:t>样本应在通道和环境箱之间随机分配，并设置哨兵样本监控设备漂移。批次、化成和储存历史应作为协变量记录。</w:t>
      </w:r>
    </w:p>
    <w:p>
      <w:pPr>
        <w:jc w:val="center"/>
      </w:pPr>
      <m:oMathPara>
        <m:oMath>
          <m:r>
            <m:t>DOD = SOC_max − SOC_min</m:t>
          </m:r>
        </m:oMath>
      </m:oMathPara>
    </w:p>
    <w:p>
      <w:pPr>
        <w:pStyle w:val="Caption"/>
        <w:jc w:val="center"/>
      </w:pPr>
      <w:r>
        <w:t>式 2  DOD、SOC_max 和 SOC_min 均可用百分比表示；平均SOC还需单独记录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矩阵角色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样本安排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基准点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建立参考速率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多重复样本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长期稳定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加速点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识别温度或倍率响应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覆盖多个水平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机理不变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交互点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识别温度与SOC等耦合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选择关键组合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交互项显著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验证点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检验插值和外推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不参与拟合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误差满足门槛</w:t>
            </w:r>
          </w:p>
        </w:tc>
      </w:tr>
    </w:tbl>
    <w:p>
      <w:pPr>
        <w:spacing w:after="40"/>
      </w:pPr>
    </w:p>
    <w:p>
      <w:pPr>
        <w:pStyle w:val="Heading1"/>
      </w:pPr>
      <w:r>
        <w:t>三 参考性能测试与干扰</w:t>
      </w:r>
    </w:p>
    <w:p>
      <w:r>
        <w:t>参考性能测试提供统一尺度，但它本身也会改变样本历史。</w:t>
      </w:r>
    </w:p>
    <w:p>
      <w:pPr>
        <w:pStyle w:val="Heading2"/>
      </w:pPr>
      <w:r>
        <w:t>3 1 RPT内容</w:t>
      </w:r>
    </w:p>
    <w:p>
      <w:r>
        <w:t>典型RPT包括容量、脉冲功率、阻抗或受控曲线测试，并在统一温度和SOC条件下进行。它把不同老化条件拉回同一参考坐标。</w:t>
      </w:r>
    </w:p>
    <w:p>
      <w:r>
        <w:t>RPT前的恢复、静置和预处理要固定，否则温度滞后和极化会造成虚假容量或阻抗变化。</w:t>
      </w:r>
    </w:p>
    <w:p>
      <w:pPr>
        <w:pStyle w:val="Heading2"/>
      </w:pPr>
      <w:r>
        <w:t>3 2 频率与测量扰动</w:t>
      </w:r>
    </w:p>
    <w:p>
      <w:r>
        <w:t>RPT过稀会错过拐点，过密则增加额外循环并打断日历老化。频率应根据预期衰退速率和测量分辨率设计。</w:t>
      </w:r>
    </w:p>
    <w:p>
      <w:r>
        <w:t>对高硅负极等敏感体系，间歇循环可能改变后续静置反应。应设置不同RPT频率对照，或把测试扰动计入模型。</w:t>
      </w:r>
    </w:p>
    <w:p>
      <w:pPr>
        <w:jc w:val="center"/>
      </w:pPr>
      <m:oMathPara>
        <m:oMath>
          <m:r>
            <m:t>q_k = Q_k / Q_0</m:t>
          </m:r>
        </m:oMath>
      </m:oMathPara>
    </w:p>
    <w:p>
      <w:pPr>
        <w:pStyle w:val="Caption"/>
        <w:jc w:val="center"/>
      </w:pPr>
      <w:r>
        <w:t>式 3  q_k 为第k次RPT的归一化容量；Q_k 与初始容量Q_0单位均为 Ah</w:t>
      </w:r>
    </w:p>
    <w:p>
      <w:pPr>
        <w:pStyle w:val="Heading1"/>
      </w:pPr>
      <w:r>
        <w:t>四 模型拟合与独立验证</w:t>
      </w:r>
    </w:p>
    <w:p>
      <w:r>
        <w:t>拟合优度不能代替预测能力，验证数据必须与训练数据分离。</w:t>
      </w:r>
    </w:p>
    <w:p>
      <w:pPr>
        <w:pStyle w:val="Heading2"/>
      </w:pPr>
      <w:r>
        <w:t>4 1 模型结构与可辨识性</w:t>
      </w:r>
    </w:p>
    <w:p>
      <w:r>
        <w:t>经验模型参数少、易部署，但可能把不同机理压缩为同一项。半经验模型可分别描述日历、循环和温度效应，但需要更多可辨识数据。</w:t>
      </w:r>
    </w:p>
    <w:p>
      <w:r>
        <w:t>若多个参数对输出产生相似影响，单一数据集无法唯一确定它们。应增加正交工况、固定部分参数或采用先验约束。</w:t>
      </w:r>
    </w:p>
    <w:p>
      <w:pPr>
        <w:pStyle w:val="Heading2"/>
      </w:pPr>
      <w:r>
        <w:t>4 2 验证层级</w:t>
      </w:r>
    </w:p>
    <w:p>
      <w:r>
        <w:t>先用留出的同类条件检查插值，再用不同温度、SOC窗口或复杂动态谱检查外推。最后与现场或系统级数据比较。</w:t>
      </w:r>
    </w:p>
    <w:p>
      <w:r>
        <w:t>残差应随时间、温度和SOC绘图。如果残差呈系统偏移，即使总体均方误差较小，也说明模型遗漏了工况依赖。</w:t>
      </w:r>
    </w:p>
    <w:p>
      <w:pPr>
        <w:jc w:val="center"/>
      </w:pPr>
      <m:oMathPara>
        <m:oMath>
          <m:r>
            <m:t>RMSE = sqrt[Σ(y_i − ŷ_i)^2 / n]</m:t>
          </m:r>
        </m:oMath>
      </m:oMathPara>
    </w:p>
    <w:p>
      <w:pPr>
        <w:pStyle w:val="Caption"/>
        <w:jc w:val="center"/>
      </w:pPr>
      <w:r>
        <w:t>式 4  RMSE 与被预测量单位相同；y_i 为实测值，ŷ_i 为预测值，n 为验证点数量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验证层级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主要问题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通过条件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重复性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同条件重复样本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离散与噪声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误差稳定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插值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矩阵内部保留点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函数形状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无系统偏差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外推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边界外或复杂谱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机理迁移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误差和区间受控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现场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车队或系统数据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使用谱差异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持续校准有效</w:t>
            </w:r>
          </w:p>
        </w:tc>
      </w:tr>
    </w:tbl>
    <w:p>
      <w:pPr>
        <w:spacing w:after="40"/>
      </w:pPr>
    </w:p>
    <w:p>
      <w:pPr>
        <w:pStyle w:val="Heading1"/>
      </w:pPr>
      <w:r>
        <w:t>五 不确定性与寿命分位数</w:t>
      </w:r>
    </w:p>
    <w:p>
      <w:r>
        <w:t>寿命预测是分布而不是单点，样本差异和模型误差都要进入结果。</w:t>
      </w:r>
    </w:p>
    <w:p>
      <w:pPr>
        <w:pStyle w:val="Heading2"/>
      </w:pPr>
      <w:r>
        <w:t>5 1 参数与样本不确定性</w:t>
      </w:r>
    </w:p>
    <w:p>
      <w:r>
        <w:t>参数置信区间反映有限数据对模型系数的约束，样本分布反映制造差异。两者不能用同一个平均误差替代。</w:t>
      </w:r>
    </w:p>
    <w:p>
      <w:r>
        <w:t>随机效应或分层模型可区分批次和单体差异。若只有少量样本，寿命尾部分位数会很不稳定，应避免给出过度精确的保修结论。</w:t>
      </w:r>
    </w:p>
    <w:p>
      <w:pPr>
        <w:pStyle w:val="Heading2"/>
      </w:pPr>
      <w:r>
        <w:t>5 2 预测区间与决策</w:t>
      </w:r>
    </w:p>
    <w:p>
      <w:r>
        <w:t>面向保修或安全的决策通常关注较低寿命分位数，而非平均寿命。预测区间还应覆盖未来使用谱和环境条件的不确定性。</w:t>
      </w:r>
    </w:p>
    <w:p>
      <w:r>
        <w:t>当现场数据进入后，可用贝叶斯更新或滚动标定收窄区间。更新前要确认数据质量与模型结构仍适用。</w:t>
      </w:r>
    </w:p>
    <w:p>
      <w:pPr>
        <w:jc w:val="center"/>
      </w:pPr>
      <m:oMathPara>
        <m:oMath>
          <m:r>
            <m:t>RUL_p = t_EOL,p − t_now</m:t>
          </m:r>
        </m:oMath>
      </m:oMathPara>
    </w:p>
    <w:p>
      <w:pPr>
        <w:pStyle w:val="Caption"/>
        <w:jc w:val="center"/>
      </w:pPr>
      <w:r>
        <w:t>式 5  RUL_p 为寿命分布第p分位的剩余寿命，单位天或循环；t_EOL,p 为相应失效时刻</w:t>
      </w:r>
    </w:p>
    <w:p>
      <w:pPr>
        <w:pStyle w:val="Heading1"/>
      </w:pPr>
      <w:r>
        <w:t>六 拐点监测与更新触发</w:t>
      </w:r>
    </w:p>
    <w:p>
      <w:r>
        <w:t>模型需要预先定义何时失效以及何时必须重新训练。</w:t>
      </w:r>
    </w:p>
    <w:p>
      <w:pPr>
        <w:pStyle w:val="Heading2"/>
      </w:pPr>
      <w:r>
        <w:t>6 1 拐点识别</w:t>
      </w:r>
    </w:p>
    <w:p>
      <w:r>
        <w:t>容量或阻抗轨迹的斜率持续改变可能提示拐点，但短期温度变化、设备漂移和RPT波动也会造成假信号。</w:t>
      </w:r>
    </w:p>
    <w:p>
      <w:r>
        <w:t>可用分段回归、变化点检测或机理阈值识别拐点，并要求多个连续观察点确认。检测算法应在盲测数据上评估误报和延迟。</w:t>
      </w:r>
    </w:p>
    <w:p>
      <w:pPr>
        <w:pStyle w:val="Heading2"/>
      </w:pPr>
      <w:r>
        <w:t>6 2 模型治理</w:t>
      </w:r>
    </w:p>
    <w:p>
      <w:r>
        <w:t>模型文件应记录版本、训练数据范围、参数、适用化学体系和禁止外推区域。任何材料、工艺或控制策略变更都可能触发重新验证。</w:t>
      </w:r>
    </w:p>
    <w:p>
      <w:r>
        <w:t>现场残差持续偏移、失效模式变化或样本分位数越界时，应停止原模型自动决策，回到实验和根因分析。</w:t>
      </w:r>
    </w:p>
    <w:p>
      <w:pPr>
        <w:jc w:val="center"/>
      </w:pPr>
      <m:oMathPara>
        <m:oMath>
          <m:r>
            <m:t>D_Miner = Σ n_i / N_i</m:t>
          </m:r>
        </m:oMath>
      </m:oMathPara>
    </w:p>
    <w:p>
      <w:pPr>
        <w:pStyle w:val="Caption"/>
        <w:jc w:val="center"/>
      </w:pPr>
      <w:r>
        <w:t>式 6  D_Miner 为无量纲累计损伤；n_i 为实际发生次数；N_i 为该应力水平下的寿命次数，D接近1仅是模型判据</w:t>
      </w:r>
    </w:p>
    <w:p>
      <w:pPr>
        <w:pStyle w:val="Heading1"/>
      </w:pPr>
      <w:r>
        <w:t>工程检查表</w:t>
      </w:r>
    </w:p>
    <w:p>
      <w:r>
        <w:t>建立寿命试验计划时，逐项确认以下设计是否可支持外推。</w:t>
      </w:r>
    </w:p>
    <w:p>
      <w:pPr>
        <w:numPr>
          <w:ilvl w:val="0"/>
          <w:numId w:val="19"/>
        </w:numPr>
        <w:ind w:left="432" w:hanging="288"/>
      </w:pPr>
      <w:r>
        <w:t>明确寿命指标 失效阈值和目标使用谱</w:t>
      </w:r>
    </w:p>
    <w:p>
      <w:pPr>
        <w:numPr>
          <w:ilvl w:val="0"/>
          <w:numId w:val="19"/>
        </w:numPr>
        <w:ind w:left="432" w:hanging="288"/>
      </w:pPr>
      <w:r>
        <w:t>验证所有加速条件是否保持主导机理一致</w:t>
      </w:r>
    </w:p>
    <w:p>
      <w:pPr>
        <w:numPr>
          <w:ilvl w:val="0"/>
          <w:numId w:val="19"/>
        </w:numPr>
        <w:ind w:left="432" w:hanging="288"/>
      </w:pPr>
      <w:r>
        <w:t>为关键条件设置重复样本 随机化和设备哨兵</w:t>
      </w:r>
    </w:p>
    <w:p>
      <w:pPr>
        <w:numPr>
          <w:ilvl w:val="0"/>
          <w:numId w:val="19"/>
        </w:numPr>
        <w:ind w:left="432" w:hanging="288"/>
      </w:pPr>
      <w:r>
        <w:t>保留未参与拟合的插值 外推和动态谱验证点</w:t>
      </w:r>
    </w:p>
    <w:p>
      <w:pPr>
        <w:numPr>
          <w:ilvl w:val="0"/>
          <w:numId w:val="19"/>
        </w:numPr>
        <w:ind w:left="432" w:hanging="288"/>
      </w:pPr>
      <w:r>
        <w:t>在报告中给出预测区间 适用范围和更新触发</w:t>
      </w:r>
    </w:p>
    <w:p>
      <w:pPr>
        <w:pStyle w:val="Heading1"/>
      </w:pPr>
      <w:r>
        <w:t>案例推演</w:t>
      </w:r>
    </w:p>
    <w:p>
      <w:r>
        <w:t>场景 高温循环三个月的数据预测车辆可用十年 但首批车在寒冷地区两年后快速衰退</w:t>
      </w:r>
    </w:p>
    <w:p>
      <w:r>
        <w:t>试验只覆盖高温恒流循环，未包含低温充电、休息比例和现场SOC窗口，模型把不同机理压缩成统一吞吐项。</w:t>
      </w:r>
    </w:p>
    <w:p>
      <w:pPr>
        <w:numPr>
          <w:ilvl w:val="0"/>
          <w:numId w:val="20"/>
        </w:numPr>
        <w:ind w:left="432" w:hanging="288"/>
      </w:pPr>
      <w:r>
        <w:t>复核高温样本与现场样本的容量曲线 阻抗和析锂特征</w:t>
      </w:r>
    </w:p>
    <w:p>
      <w:pPr>
        <w:numPr>
          <w:ilvl w:val="0"/>
          <w:numId w:val="20"/>
        </w:numPr>
        <w:ind w:left="432" w:hanging="288"/>
      </w:pPr>
      <w:r>
        <w:t>重建包含低温充电 平均SOC和休息时间的应力矩阵</w:t>
      </w:r>
    </w:p>
    <w:p>
      <w:pPr>
        <w:numPr>
          <w:ilvl w:val="0"/>
          <w:numId w:val="20"/>
        </w:numPr>
        <w:ind w:left="432" w:hanging="288"/>
      </w:pPr>
      <w:r>
        <w:t>设置复杂动态谱与不同RPT频率的独立验证组</w:t>
      </w:r>
    </w:p>
    <w:p>
      <w:pPr>
        <w:numPr>
          <w:ilvl w:val="0"/>
          <w:numId w:val="20"/>
        </w:numPr>
        <w:ind w:left="432" w:hanging="288"/>
      </w:pPr>
      <w:r>
        <w:t>分离日历 循环和低温机理项并重新估计不确定性</w:t>
      </w:r>
    </w:p>
    <w:p>
      <w:pPr>
        <w:numPr>
          <w:ilvl w:val="0"/>
          <w:numId w:val="20"/>
        </w:numPr>
        <w:ind w:left="432" w:hanging="288"/>
      </w:pPr>
      <w:r>
        <w:t>在新证据完成前收紧低温充电边界并监控车队残差</w:t>
      </w:r>
    </w:p>
    <w:p>
      <w:r>
        <w:t>正确修复不是增加一个经验系数，而是补齐缺失机理和验证层级。</w:t>
      </w:r>
    </w:p>
    <w:p>
      <w:pPr>
        <w:pStyle w:val="Heading1"/>
      </w:pPr>
      <w:r>
        <w:t>常见误区</w:t>
      </w:r>
    </w:p>
    <w:p>
      <w:r>
        <w:t>以下判断忽略了对象、工况或证据边界。复盘时应说明假设并给出验证方法。</w:t>
      </w:r>
    </w:p>
    <w:p>
      <w:pPr>
        <w:pStyle w:val="Heading2"/>
      </w:pPr>
      <w:r>
        <w:t>误区 1 温度越高试验越快越好</w:t>
      </w:r>
    </w:p>
    <w:p>
      <w:r>
        <w:t>过高温度可能引入实际使用中不占主导的机理，使加速因子失去意义。</w:t>
      </w:r>
    </w:p>
    <w:p>
      <w:pPr>
        <w:pStyle w:val="Heading2"/>
      </w:pPr>
      <w:r>
        <w:t>误区 2 拟合曲线接近数据就能预测寿命</w:t>
      </w:r>
    </w:p>
    <w:p>
      <w:r>
        <w:t>拟合只说明模型解释训练数据，外推能力必须由独立条件验证。</w:t>
      </w:r>
    </w:p>
    <w:p>
      <w:pPr>
        <w:pStyle w:val="Heading2"/>
      </w:pPr>
      <w:r>
        <w:t>误区 3 RPT越频繁数据越可靠</w:t>
      </w:r>
    </w:p>
    <w:p>
      <w:r>
        <w:t>频繁RPT会增加循环并扰动日历老化，应平衡分辨率与测试干扰。</w:t>
      </w:r>
    </w:p>
    <w:p>
      <w:pPr>
        <w:pStyle w:val="Heading2"/>
      </w:pPr>
      <w:r>
        <w:t>误区 4 平均寿命可以直接用于保修</w:t>
      </w:r>
    </w:p>
    <w:p>
      <w:r>
        <w:t>保修更关注低寿命分位数和使用谱差异，需要预测区间。</w:t>
      </w:r>
    </w:p>
    <w:p>
      <w:pPr>
        <w:pStyle w:val="Heading2"/>
      </w:pPr>
      <w:r>
        <w:t>误区 5 一个模型可以跨材料和工艺版本使用</w:t>
      </w:r>
    </w:p>
    <w:p>
      <w:r>
        <w:t>材料、极片、化成和控制变化都可能改变参数或机理，必须进行变更评估。</w:t>
      </w:r>
    </w:p>
    <w:p>
      <w:pPr>
        <w:pStyle w:val="Heading1"/>
      </w:pPr>
      <w:r>
        <w:t>本期要点总结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加速条件只有在机理一致时才能支持时间外推。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试验矩阵要分离温度 SOC DOD 倍率和关键交互作用。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RPT提供统一参考，也会改变样本历史。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模型必须经过保留点 复杂谱和现场数据的分层验证。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寿命结论应报告分位数 预测区间和模型更新触发。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  <w:ind w:left="432" w:hanging="288"/>
      </w:pPr>
      <w:r>
        <w:t>Arrhenius加速因子使用前最重要的前提是什么</w:t>
      </w:r>
    </w:p>
    <w:p>
      <w:pPr>
        <w:numPr>
          <w:ilvl w:val="0"/>
          <w:numId w:val="21"/>
        </w:numPr>
        <w:ind w:left="432" w:hanging="288"/>
      </w:pPr>
      <w:r>
        <w:t>为什么平均SOC和DOD要分开设计</w:t>
      </w:r>
    </w:p>
    <w:p>
      <w:pPr>
        <w:numPr>
          <w:ilvl w:val="0"/>
          <w:numId w:val="21"/>
        </w:numPr>
        <w:ind w:left="432" w:hanging="288"/>
      </w:pPr>
      <w:r>
        <w:t>验证点为什么不能参与拟合</w:t>
      </w:r>
    </w:p>
    <w:p>
      <w:pPr>
        <w:numPr>
          <w:ilvl w:val="0"/>
          <w:numId w:val="21"/>
        </w:numPr>
        <w:ind w:left="432" w:hanging="288"/>
      </w:pPr>
      <w:r>
        <w:t>寿命预测为什么要给区间</w:t>
      </w:r>
    </w:p>
    <w:p>
      <w:pPr>
        <w:numPr>
          <w:ilvl w:val="0"/>
          <w:numId w:val="21"/>
        </w:numPr>
        <w:ind w:left="432" w:hanging="288"/>
      </w:pPr>
      <w:r>
        <w:t>什么时候应停止使用原寿命模型</w:t>
      </w:r>
    </w:p>
    <w:p>
      <w:pPr>
        <w:pStyle w:val="Heading2"/>
      </w:pPr>
      <w:r>
        <w:t>答案 1</w:t>
      </w:r>
    </w:p>
    <w:p>
      <w:r>
        <w:t>测试温度与使用温度下的主导退化机理相同，且活化能在该温区内适用。</w:t>
      </w:r>
    </w:p>
    <w:p>
      <w:pPr>
        <w:pStyle w:val="Heading2"/>
      </w:pPr>
      <w:r>
        <w:t>答案 2</w:t>
      </w:r>
    </w:p>
    <w:p>
      <w:r>
        <w:t>DOD描述窗口宽度，平均SOC决定窗口位置和电极电位，两者对老化的影响不同。</w:t>
      </w:r>
    </w:p>
    <w:p>
      <w:pPr>
        <w:pStyle w:val="Heading2"/>
      </w:pPr>
      <w:r>
        <w:t>答案 3</w:t>
      </w:r>
    </w:p>
    <w:p>
      <w:r>
        <w:t>若参与拟合，它只能评价拟合误差，不能独立检验模型对新条件的预测能力。</w:t>
      </w:r>
    </w:p>
    <w:p>
      <w:pPr>
        <w:pStyle w:val="Heading2"/>
      </w:pPr>
      <w:r>
        <w:t>答案 4</w:t>
      </w:r>
    </w:p>
    <w:p>
      <w:r>
        <w:t>样本差异、参数误差、未来使用谱和模型结构都会造成不确定性，单点值会掩盖决策风险。</w:t>
      </w:r>
    </w:p>
    <w:p>
      <w:pPr>
        <w:pStyle w:val="Heading2"/>
      </w:pPr>
      <w:r>
        <w:t>答案 5</w:t>
      </w:r>
    </w:p>
    <w:p>
      <w:r>
        <w:t>现场残差持续偏移、出现新失效模式、材料或控制发生重大变更，或输入超出验证范围时。</w:t>
      </w:r>
    </w:p>
    <w:p>
      <w:pPr>
        <w:pStyle w:val="Heading1"/>
      </w:pPr>
      <w:r>
        <w:t>下一期预告</w:t>
      </w:r>
    </w:p>
    <w:p>
      <w:r>
        <w:t>第32期将进入电性能测试与HPPC能力表征，学习容量、能量、脉冲阻抗、功率边界和测量不确定度。</w:t>
      </w:r>
    </w:p>
    <w:p>
      <w:pPr>
        <w:pStyle w:val="Heading1"/>
      </w:pPr>
      <w:r>
        <w:t>参考资料</w:t>
      </w:r>
    </w:p>
    <w:p>
      <w:r>
        <w:t>以下资料用于建立本期工程框架。所有网页的访问日期均为 2026年10月5日。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锂离子电池日历与循环寿命降阶模型研究。访问日期：2026年10月5日。</w:t>
      </w:r>
      <w:hyperlink r:id="rId15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电池退化机理与加速寿命外推框架。访问日期：2026年10月5日。</w:t>
      </w:r>
      <w:hyperlink r:id="rId16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机器学习电池寿命预测研究。访问日期：2026年10月5日。</w:t>
      </w:r>
      <w:hyperlink r:id="rId17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硅负极日历老化与RPT频率研究。访问日期：2026年10月5日。</w:t>
      </w:r>
      <w:hyperlink r:id="rId18">
        <w:r>
          <w:rPr>
            <w:color w:val="17365D"/>
            <w:u w:val="single"/>
          </w:rPr>
          <w:t>原文链接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t xml:space="preserve">2026-10-01  |  </w:t>
    </w:r>
    <w:r>
      <w:rPr>
        <w:rFonts w:ascii="Microsoft YaHei" w:hAnsi="Microsoft YaHei" w:eastAsia="Microsoft YaHei" w:cs="Microsoft YaHei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8"/>
      </w:rPr>
      <w:t>动力电池深度学习计划 第 31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nrel.gov/docs/fy22osti/79499.pdf" TargetMode="External"/><Relationship Id="rId16" Type="http://schemas.openxmlformats.org/officeDocument/2006/relationships/hyperlink" Target="https://www.nrel.gov/docs/fy15osti/64171.pdf" TargetMode="External"/><Relationship Id="rId17" Type="http://schemas.openxmlformats.org/officeDocument/2006/relationships/hyperlink" Target="https://www.nrel.gov/transportation/machine-learning-for-advanced-batteries.html" TargetMode="External"/><Relationship Id="rId18" Type="http://schemas.openxmlformats.org/officeDocument/2006/relationships/hyperlink" Target="https://www.nrel.gov/docs/fy24osti/8753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加速寿命试验与模型外推</dc:title>
  <dc:subject>试验矩阵 机理一致性与预测不确定性</dc:subject>
  <dc:creator>Codex 动力电池深度学习计划</dc:creator>
  <cp:keywords>动力电池 加速寿命 Arrhenius 试验设计 RPT 外推 不确定性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