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 w:cs="Microsoft YaHei"/>
          <w:b w:val="0"/>
          <w:color w:val="000000"/>
          <w:sz w:val="58"/>
        </w:rPr>
        <w:t>电性能测试与HPPC表征</w:t>
      </w:r>
    </w:p>
    <w:p>
      <w:pPr>
        <w:pStyle w:val="Subtitle"/>
        <w:jc w:val="center"/>
      </w:pPr>
      <w:r>
        <w:rPr>
          <w:rFonts w:ascii="Microsoft YaHei" w:hAnsi="Microsoft YaHei" w:eastAsia="Microsoft YaHei" w:cs="Microsoft YaHei"/>
          <w:color w:val="000000"/>
          <w:sz w:val="24"/>
        </w:rPr>
        <w:t>容量 能量 阻抗和功率能力的可重复测量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000000"/>
          <w:sz w:val="20"/>
        </w:rPr>
        <w:t>60天动力电池深度学习  第 32 期  2026-10-02</w:t>
      </w:r>
    </w:p>
    <w:p>
      <w:pPr>
        <w:spacing w:before="280"/>
      </w:pPr>
      <w:r>
        <w:t>本期把电芯和Pack的性能要求转化为可执行测试。重点是建立统一预处理，理解HPPC脉冲中的欧姆与极化响应，并把测量不确定度带入功率能力和寿命判断。</w:t>
      </w:r>
    </w:p>
    <w:p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核心判断  </w:t>
      </w:r>
      <w:r>
        <w:rPr>
          <w:rFonts w:ascii="Microsoft YaHei" w:hAnsi="Microsoft YaHei" w:eastAsia="Microsoft YaHei" w:cs="Microsoft YaHei"/>
          <w:color w:val="000000"/>
          <w:sz w:val="22"/>
        </w:rPr>
        <w:t>性能数据只有在对象、预处理、温度、SOC、脉冲时长和测量链一致时才可比较；HPPC给出的是条件化能力图，不是电芯的固定常数。</w:t>
      </w:r>
    </w:p>
    <w:p>
      <w:r>
        <w:rPr>
          <w:rFonts w:ascii="Microsoft YaHei" w:hAnsi="Microsoft YaHei" w:eastAsia="Microsoft YaHei" w:cs="Microsoft YaHei"/>
          <w:b/>
          <w:color w:val="000000"/>
          <w:sz w:val="20"/>
        </w:rPr>
        <w:t xml:space="preserve">关键词  </w:t>
      </w:r>
      <w:r>
        <w:rPr>
          <w:rFonts w:ascii="Microsoft YaHei" w:hAnsi="Microsoft YaHei" w:eastAsia="Microsoft YaHei" w:cs="Microsoft YaHei"/>
          <w:color w:val="000000"/>
          <w:sz w:val="20"/>
        </w:rPr>
        <w:t>动力电池 测试 HPPC 容量 能量 DCIR 功率效率</w:t>
      </w:r>
    </w:p>
    <w:p>
      <w:pPr>
        <w:pStyle w:val="Heading1"/>
      </w:pPr>
      <w:r>
        <w:t>学习目标</w:t>
      </w:r>
    </w:p>
    <w:p>
      <w:r>
        <w:t>完成本期后，你应能把概念转化为可计算指标、可执行试验和可追溯判断。</w:t>
      </w:r>
    </w:p>
    <w:p>
      <w:pPr>
        <w:numPr>
          <w:ilvl w:val="0"/>
          <w:numId w:val="18"/>
        </w:numPr>
        <w:ind w:left="432" w:hanging="288"/>
      </w:pPr>
      <w:r>
        <w:t>编写包含预处理和参考条件的电性能测试程序</w:t>
      </w:r>
    </w:p>
    <w:p>
      <w:pPr>
        <w:numPr>
          <w:ilvl w:val="0"/>
          <w:numId w:val="18"/>
        </w:numPr>
        <w:ind w:left="432" w:hanging="288"/>
      </w:pPr>
      <w:r>
        <w:t>计算容量 能量 库仑效率和能量效率</w:t>
      </w:r>
    </w:p>
    <w:p>
      <w:pPr>
        <w:numPr>
          <w:ilvl w:val="0"/>
          <w:numId w:val="18"/>
        </w:numPr>
        <w:ind w:left="432" w:hanging="288"/>
      </w:pPr>
      <w:r>
        <w:t>从HPPC脉冲提取不同时间尺度的直流阻抗</w:t>
      </w:r>
    </w:p>
    <w:p>
      <w:pPr>
        <w:numPr>
          <w:ilvl w:val="0"/>
          <w:numId w:val="18"/>
        </w:numPr>
        <w:ind w:left="432" w:hanging="288"/>
      </w:pPr>
      <w:r>
        <w:t>根据电压与热约束建立充放电功率边界</w:t>
      </w:r>
    </w:p>
    <w:p>
      <w:pPr>
        <w:numPr>
          <w:ilvl w:val="0"/>
          <w:numId w:val="18"/>
        </w:numPr>
        <w:ind w:left="432" w:hanging="288"/>
      </w:pPr>
      <w:r>
        <w:t>识别采样同步 连接压降和温控带来的测量误差</w:t>
      </w:r>
    </w:p>
    <w:p>
      <w:pPr>
        <w:pStyle w:val="Heading1"/>
      </w:pPr>
      <w:r>
        <w:t>系统总览</w:t>
      </w:r>
    </w:p>
    <w:p>
      <w:r>
        <w:t>电性能测试既服务于材料和电芯比较，也服务于BMS标定和系统验证。相同名称的容量或阻抗，如果测试温度、SOC建立方法、静置时间和截止条件不同，结果可能不可直接比较。</w:t>
      </w:r>
    </w:p>
    <w:p>
      <w:r>
        <w:t>HPPC使用成组的放电与回充脉冲，在多个SOC点记录瞬时压降、极化和恢复。它可以支持等效电路参数、功率能力和寿命趋势分析，但脉冲宽度与采样带宽决定了看到的物理过程。</w:t>
      </w:r>
    </w:p>
    <w:p>
      <w:r>
        <w:t>FreedomCAR测试手册、IEC 62660-1和ISO 12405-4都强调标准化测试条件与可比结果。实际项目仍需把通用程序转化为适合目标电芯、Pack额定值和安全边界的试验计划。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电性能测试的数据链" descr="测试从统一预处理开始，施加载荷并同步采集电压电流温度，最后计算容量阻抗功率和不确定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32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可重复性能数据来自完整的测试与测量链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主要输入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主要输出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关键控制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容量测试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恒流与截止电压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Ah容量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温度 静置 倍率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能量测试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电压电流时间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Wh能量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积分同步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HPPC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SOC点与脉冲序列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DCIR和功率图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脉冲宽度与恢复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效率测试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完整充放电回路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库仑和能量效率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热平衡与辅助功耗</w:t>
            </w:r>
          </w:p>
        </w:tc>
      </w:tr>
    </w:tbl>
    <w:p>
      <w:pPr>
        <w:spacing w:after="40"/>
      </w:pPr>
    </w:p>
    <w:p>
      <w:pPr>
        <w:pStyle w:val="Heading1"/>
      </w:pPr>
      <w:r>
        <w:t>一 试验对象与预处理</w:t>
      </w:r>
    </w:p>
    <w:p>
      <w:r>
        <w:t>预处理决定样本的起始状态，是性能结果可比性的基础。</w:t>
      </w:r>
    </w:p>
    <w:p>
      <w:pPr>
        <w:pStyle w:val="Heading2"/>
      </w:pPr>
      <w:r>
        <w:t>1 1 对象和额定值</w:t>
      </w:r>
    </w:p>
    <w:p>
      <w:r>
        <w:t>先明确测试对象是单体、并联组、模组还是Pack。额定容量、电压窗口、冷却边界和保护策略会决定电流与功率的缩放方法。</w:t>
      </w:r>
    </w:p>
    <w:p>
      <w:r>
        <w:t>小样件测试不能只按串并联数量线性外推。连接件、传感器、热管理和控制器会在系统级增加压降、热耗和限制。</w:t>
      </w:r>
    </w:p>
    <w:p>
      <w:pPr>
        <w:pStyle w:val="Heading2"/>
      </w:pPr>
      <w:r>
        <w:t>1 2 温度与SOC建立</w:t>
      </w:r>
    </w:p>
    <w:p>
      <w:r>
        <w:t>样本应在目标温度充分均温，并按规定充电程序达到起始SOC。SOC通常通过从满充状态移除规定容量建立，而不是只依赖BMS显示值。</w:t>
      </w:r>
    </w:p>
    <w:p>
      <w:r>
        <w:t>静置时间影响极化恢复和OCV。程序需要规定静置起点、最短时间和温度稳定判据。</w:t>
      </w:r>
    </w:p>
    <w:p>
      <w:pPr>
        <w:jc w:val="center"/>
      </w:pPr>
      <m:oMathPara>
        <m:oMath>
          <m:r>
            <m:t>C_rate = I / Q_n</m:t>
          </m:r>
        </m:oMath>
      </m:oMathPara>
    </w:p>
    <w:p>
      <w:pPr>
        <w:pStyle w:val="Caption"/>
        <w:jc w:val="center"/>
      </w:pPr>
      <w:r>
        <w:t>式 1  C_rate 单位 h⁻¹；I 为电流 A；Q_n 为额定容量 Ah；1C表示理论上一小时完成额定容量吞吐</w:t>
      </w:r>
    </w:p>
    <w:p>
      <w:pPr>
        <w:pStyle w:val="Heading1"/>
      </w:pPr>
      <w:r>
        <w:t>二 容量与能量测试</w:t>
      </w:r>
    </w:p>
    <w:p>
      <w:r>
        <w:t>容量和能量应分别报告，因为工作电压曲线会随倍率和老化变化。</w:t>
      </w:r>
    </w:p>
    <w:p>
      <w:pPr>
        <w:pStyle w:val="Heading2"/>
      </w:pPr>
      <w:r>
        <w:t>2 1 安时容量</w:t>
      </w:r>
    </w:p>
    <w:p>
      <w:r>
        <w:t>容量通过电流对时间积分获得。恒流测试仍需校验采样间隔、截止事件和电流偏置，尤其是在低倍率长时间测试中。</w:t>
      </w:r>
    </w:p>
    <w:p>
      <w:r>
        <w:t>充电容量与放电容量的口径要明确。用于SOH的参考容量应固定温度、倍率、截止电压和前置循环。</w:t>
      </w:r>
    </w:p>
    <w:p>
      <w:pPr>
        <w:pStyle w:val="Heading2"/>
      </w:pPr>
      <w:r>
        <w:t>2 2 瓦时能量</w:t>
      </w:r>
    </w:p>
    <w:p>
      <w:r>
        <w:t>能量对电压与电流乘积积分。高倍率下电压下降更快，即使Ah容量变化较小，Wh能量也可能明显降低。</w:t>
      </w:r>
    </w:p>
    <w:p>
      <w:r>
        <w:t>Pack能量测试还需区分电芯端口、Pack高压端和整车直流母线测量点，辅助功耗是否计入必须说明。</w:t>
      </w:r>
    </w:p>
    <w:p>
      <w:pPr>
        <w:jc w:val="center"/>
      </w:pPr>
      <m:oMathPara>
        <m:oMath>
          <m:r>
            <m:t>E = ∫ V(t) I(t) dt / 3600</m:t>
          </m:r>
        </m:oMath>
      </m:oMathPara>
    </w:p>
    <w:p>
      <w:pPr>
        <w:pStyle w:val="Caption"/>
        <w:jc w:val="center"/>
      </w:pPr>
      <w:r>
        <w:t>式 2  E 单位 Wh；V 单位 V；I 单位 A；t 单位 s；放电和充电需约定电流符号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误差来源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容量影响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能量影响</w:t>
            </w:r>
          </w:p>
        </w:tc>
        <w:tc>
          <w:tcPr>
            <w:tcW w:type="dxa" w:w="2664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控制方法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电流零偏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随时间累积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同时影响功率积分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零点与温漂标定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电压偏置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主要影响截止时刻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持续影响能量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多点电压校准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时间戳漂移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积分误差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电压电流错位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统一时钟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温度波动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改变可用容量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改变电压和损耗</w:t>
            </w:r>
          </w:p>
        </w:tc>
        <w:tc>
          <w:tcPr>
            <w:tcW w:type="dxa" w:w="26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均温与记录核心温度</w:t>
            </w:r>
          </w:p>
        </w:tc>
      </w:tr>
    </w:tbl>
    <w:p>
      <w:pPr>
        <w:spacing w:after="40"/>
      </w:pPr>
    </w:p>
    <w:p>
      <w:pPr>
        <w:pStyle w:val="Heading1"/>
      </w:pPr>
      <w:r>
        <w:t>三 HPPC脉冲与直流阻抗</w:t>
      </w:r>
    </w:p>
    <w:p>
      <w:r>
        <w:t>HPPC通过多个SOC点的充放电脉冲观察电压响应和恢复。</w:t>
      </w:r>
    </w:p>
    <w:p>
      <w:pPr>
        <w:pStyle w:val="Heading2"/>
      </w:pPr>
      <w:r>
        <w:t>3 1 时间尺度</w:t>
      </w:r>
    </w:p>
    <w:p>
      <w:r>
        <w:t>脉冲开始后的快速压降主要包含欧姆与极快动力学，数秒到数十秒响应还包含电荷转移和扩散极化。不同取样时刻得到的DCIR不能混用。</w:t>
      </w:r>
    </w:p>
    <w:p>
      <w:r>
        <w:t>采样系统需要在脉冲边沿具有足够带宽和同步精度。若只记录低频数据，瞬时压降会被滤波并低估阻抗。</w:t>
      </w:r>
    </w:p>
    <w:p>
      <w:pPr>
        <w:pStyle w:val="Heading2"/>
      </w:pPr>
      <w:r>
        <w:t>3 2 SOC分点和恢复</w:t>
      </w:r>
    </w:p>
    <w:p>
      <w:r>
        <w:t>测试通常在多个SOC点重复脉冲，并在脉冲之间设置恢复。SOC步进造成的容量误差会把整张阻抗图横向移动。</w:t>
      </w:r>
    </w:p>
    <w:p>
      <w:r>
        <w:t>放电脉冲和回充脉冲的阻抗可能不同。应分别报告电流方向、脉冲幅值、持续时间和电压取点。</w:t>
      </w:r>
    </w:p>
    <w:p>
      <w:pPr>
        <w:jc w:val="center"/>
      </w:pPr>
      <m:oMathPara>
        <m:oMath>
          <m:r>
            <m:t>R_Δt = [V_0 − V_Δt] / I_dis</m:t>
          </m:r>
        </m:oMath>
      </m:oMathPara>
    </w:p>
    <w:p>
      <w:pPr>
        <w:pStyle w:val="Caption"/>
        <w:jc w:val="center"/>
      </w:pPr>
      <w:r>
        <w:t>式 3  R_Δt 为脉冲持续Δt后的放电直流阻抗，单位 Ω；V_0与V_Δt单位 V；I_dis单位 A</w:t>
      </w:r>
    </w:p>
    <w:p>
      <w:pPr>
        <w:pStyle w:val="Heading1"/>
      </w:pPr>
      <w:r>
        <w:t>四 功率能力计算</w:t>
      </w:r>
    </w:p>
    <w:p>
      <w:r>
        <w:t>功率能力由最先到达的电压、电流、热或系统器件边界决定。</w:t>
      </w:r>
    </w:p>
    <w:p>
      <w:pPr>
        <w:pStyle w:val="Heading2"/>
      </w:pPr>
      <w:r>
        <w:t>4 1 电压约束</w:t>
      </w:r>
    </w:p>
    <w:p>
      <w:r>
        <w:t>放电功率计算要保证脉冲末端不低于最低单体电压，回充功率要保证不超过最高单体电压。Pack平均电压不能替代最弱单体。</w:t>
      </w:r>
    </w:p>
    <w:p>
      <w:r>
        <w:t>OCV和极化状态决定可用电压余量。若脉冲前未充分恢复，已有极化必须进入计算。</w:t>
      </w:r>
    </w:p>
    <w:p>
      <w:pPr>
        <w:pStyle w:val="Heading2"/>
      </w:pPr>
      <w:r>
        <w:t>4 2 热与器件约束</w:t>
      </w:r>
    </w:p>
    <w:p>
      <w:r>
        <w:t>持续功率往往受温升和冷却能力限制。母排、接触器、熔断器和逆变器的额定值也可能比电芯边界更紧。</w:t>
      </w:r>
    </w:p>
    <w:p>
      <w:r>
        <w:t>功率图应至少包含SOC、温度、SOH和脉冲时间维度，并标注来自电池或系统接口的限制来源。</w:t>
      </w:r>
    </w:p>
    <w:p>
      <w:pPr>
        <w:jc w:val="center"/>
      </w:pPr>
      <m:oMathPara>
        <m:oMath>
          <m:r>
            <m:t>I_dis,max = (OCV − V_min − V_p) / R_0</m:t>
          </m:r>
        </m:oMath>
      </m:oMathPara>
    </w:p>
    <w:p>
      <w:pPr>
        <w:pStyle w:val="Caption"/>
        <w:jc w:val="center"/>
      </w:pPr>
      <w:r>
        <w:t>式 4  I_dis,max 单位 A；OCV、V_min、V_p单位 V；R_0单位 Ω；V_p表示脉冲前及预测极化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时间尺度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主导约束</w:t>
            </w:r>
          </w:p>
        </w:tc>
        <w:tc>
          <w:tcPr>
            <w:tcW w:type="dxa" w:w="2520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必要模型</w:t>
            </w:r>
          </w:p>
        </w:tc>
        <w:tc>
          <w:tcPr>
            <w:tcW w:type="dxa" w:w="2376"/>
            <w:vAlign w:val="center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输出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毫秒级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器件峰值与欧姆压降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高带宽电气模型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峰值电流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秒级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单体电压与极化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一阶或多阶RC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脉冲功率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分钟级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温升和SOC变化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电热耦合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持续功率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长时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能量和冷却稳态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热系统与能量模型</w:t>
            </w:r>
          </w:p>
        </w:tc>
        <w:tc>
          <w:tcPr>
            <w:tcW w:type="dxa" w:w="23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1F8"/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 w:cs="Microsoft YaHei"/>
                <w:color w:val="000000"/>
                <w:sz w:val="18"/>
              </w:rPr>
              <w:t>连续输出</w:t>
            </w:r>
          </w:p>
        </w:tc>
      </w:tr>
    </w:tbl>
    <w:p>
      <w:pPr>
        <w:spacing w:after="40"/>
      </w:pPr>
    </w:p>
    <w:p>
      <w:pPr>
        <w:pStyle w:val="Heading1"/>
      </w:pPr>
      <w:r>
        <w:t>五 效率与热量平衡</w:t>
      </w:r>
    </w:p>
    <w:p>
      <w:r>
        <w:t>效率测试需要闭合能量边界，并区分电化学损耗与辅助系统消耗。</w:t>
      </w:r>
    </w:p>
    <w:p>
      <w:pPr>
        <w:pStyle w:val="Heading2"/>
      </w:pPr>
      <w:r>
        <w:t>5 1 库仑与能量效率</w:t>
      </w:r>
    </w:p>
    <w:p>
      <w:r>
        <w:t>库仑效率比较放出与充入的电量，对微小副反应敏感；能量效率还包含电压滞后、欧姆和极化损耗。</w:t>
      </w:r>
    </w:p>
    <w:p>
      <w:r>
        <w:t>测试窗口必须闭合到相同SOC或相同参考状态。若结束SOC不同，效率计算会混入储能变化。</w:t>
      </w:r>
    </w:p>
    <w:p>
      <w:pPr>
        <w:pStyle w:val="Heading2"/>
      </w:pPr>
      <w:r>
        <w:t>5 2 发热核算</w:t>
      </w:r>
    </w:p>
    <w:p>
      <w:r>
        <w:t>不可逆热与I²R相关，可逆熵热随反应方向和SOC变化。量热测试可校验电热模型，但热泄漏和设备热容需要标定。</w:t>
      </w:r>
    </w:p>
    <w:p>
      <w:r>
        <w:t>Pack层面还需计入泵、风扇、加热器和制冷机功耗。只报告电芯端效率会低估整车热管理代价。</w:t>
      </w:r>
    </w:p>
    <w:p>
      <w:pPr>
        <w:jc w:val="center"/>
      </w:pPr>
      <m:oMathPara>
        <m:oMath>
          <m:r>
            <m:t>η_E = E_out / E_in × 100%</m:t>
          </m:r>
        </m:oMath>
      </m:oMathPara>
    </w:p>
    <w:p>
      <w:pPr>
        <w:pStyle w:val="Caption"/>
        <w:jc w:val="center"/>
      </w:pPr>
      <w:r>
        <w:t>式 5  η_E 为能量效率；E_out与E_in单位应一致，通常为 Wh；测试应回到相同参考状态</w:t>
      </w:r>
    </w:p>
    <w:p>
      <w:pPr>
        <w:pStyle w:val="Heading1"/>
      </w:pPr>
      <w:r>
        <w:t>六 测量不确定度与重复性</w:t>
      </w:r>
    </w:p>
    <w:p>
      <w:r>
        <w:t>仪器精度、连接方式和样本离散共同决定结果可信度。</w:t>
      </w:r>
    </w:p>
    <w:p>
      <w:pPr>
        <w:pStyle w:val="Heading2"/>
      </w:pPr>
      <w:r>
        <w:t>6 1 测量链</w:t>
      </w:r>
    </w:p>
    <w:p>
      <w:r>
        <w:t>电流量程过大可能降低小电流分辨率，电压采样线与动力线共用连接会混入接触压降。四线测量可隔离部分线束影响。</w:t>
      </w:r>
    </w:p>
    <w:p>
      <w:r>
        <w:t>电压、电流和温度应共享时间基准。动态功率积分中，毫秒级错位可能产生系统误差。</w:t>
      </w:r>
    </w:p>
    <w:p>
      <w:pPr>
        <w:pStyle w:val="Heading2"/>
      </w:pPr>
      <w:r>
        <w:t>6 2 重复性与再现性</w:t>
      </w:r>
    </w:p>
    <w:p>
      <w:r>
        <w:t>重复性评估同一设备和操作者下的波动，再现性关注不同设备、实验室或操作者。两者都应与产品判定裕量比较。</w:t>
      </w:r>
    </w:p>
    <w:p>
      <w:r>
        <w:t>测试报告应保留原始数据、校准状态、软件版本和异常处理规则，使结果能够复算和追溯。</w:t>
      </w:r>
    </w:p>
    <w:p>
      <w:pPr>
        <w:jc w:val="center"/>
      </w:pPr>
      <m:oMathPara>
        <m:oMath>
          <m:r>
            <m:t>u_c = sqrt[Σ(c_i u_i)^2]</m:t>
          </m:r>
        </m:oMath>
      </m:oMathPara>
    </w:p>
    <w:p>
      <w:pPr>
        <w:pStyle w:val="Caption"/>
        <w:jc w:val="center"/>
      </w:pPr>
      <w:r>
        <w:t>式 6  u_c 为合成标准不确定度；u_i为各输入标准不确定度；c_i为灵敏度系数；单位随被测量</w:t>
      </w:r>
    </w:p>
    <w:p>
      <w:pPr>
        <w:pStyle w:val="Heading1"/>
      </w:pPr>
      <w:r>
        <w:t>工程检查表</w:t>
      </w:r>
    </w:p>
    <w:p>
      <w:r>
        <w:t>执行电性能测试前，用以下清单冻结条件和数据链。</w:t>
      </w:r>
    </w:p>
    <w:p>
      <w:pPr>
        <w:numPr>
          <w:ilvl w:val="0"/>
          <w:numId w:val="19"/>
        </w:numPr>
        <w:ind w:left="432" w:hanging="288"/>
      </w:pPr>
      <w:r>
        <w:t>定义对象 测量端口 额定值和保护功能状态</w:t>
      </w:r>
    </w:p>
    <w:p>
      <w:pPr>
        <w:numPr>
          <w:ilvl w:val="0"/>
          <w:numId w:val="19"/>
        </w:numPr>
        <w:ind w:left="432" w:hanging="288"/>
      </w:pPr>
      <w:r>
        <w:t>冻结充电程序 温度 SOC建立 静置和截止条件</w:t>
      </w:r>
    </w:p>
    <w:p>
      <w:pPr>
        <w:numPr>
          <w:ilvl w:val="0"/>
          <w:numId w:val="19"/>
        </w:numPr>
        <w:ind w:left="432" w:hanging="288"/>
      </w:pPr>
      <w:r>
        <w:t>确认电压电流温度的量程 精度 带宽和同步</w:t>
      </w:r>
    </w:p>
    <w:p>
      <w:pPr>
        <w:numPr>
          <w:ilvl w:val="0"/>
          <w:numId w:val="19"/>
        </w:numPr>
        <w:ind w:left="432" w:hanging="288"/>
      </w:pPr>
      <w:r>
        <w:t>记录HPPC每个SOC点的脉冲方向 幅值 时长和恢复</w:t>
      </w:r>
    </w:p>
    <w:p>
      <w:pPr>
        <w:numPr>
          <w:ilvl w:val="0"/>
          <w:numId w:val="19"/>
        </w:numPr>
        <w:ind w:left="432" w:hanging="288"/>
      </w:pPr>
      <w:r>
        <w:t>报告重复性 不确定度 原始数据路径和计算版本</w:t>
      </w:r>
    </w:p>
    <w:p>
      <w:pPr>
        <w:pStyle w:val="Heading1"/>
      </w:pPr>
      <w:r>
        <w:t>案例推演</w:t>
      </w:r>
    </w:p>
    <w:p>
      <w:r>
        <w:t>场景 两家实验室对同一批电芯测得十秒DCIR相差百分之十五</w:t>
      </w:r>
    </w:p>
    <w:p>
      <w:r>
        <w:t>一方使用环境温度作为电芯温度且采样频率较低，另一方使用四线连接并在规定SOC充分静置。</w:t>
      </w:r>
    </w:p>
    <w:p>
      <w:pPr>
        <w:numPr>
          <w:ilvl w:val="0"/>
          <w:numId w:val="20"/>
        </w:numPr>
        <w:ind w:left="432" w:hanging="288"/>
      </w:pPr>
      <w:r>
        <w:t>统一样本编号 SOC建立 温度传感位置和静置判据</w:t>
      </w:r>
    </w:p>
    <w:p>
      <w:pPr>
        <w:numPr>
          <w:ilvl w:val="0"/>
          <w:numId w:val="20"/>
        </w:numPr>
        <w:ind w:left="432" w:hanging="288"/>
      </w:pPr>
      <w:r>
        <w:t>用共同参考电阻检查电流 电压和时间同步</w:t>
      </w:r>
    </w:p>
    <w:p>
      <w:pPr>
        <w:numPr>
          <w:ilvl w:val="0"/>
          <w:numId w:val="20"/>
        </w:numPr>
        <w:ind w:left="432" w:hanging="288"/>
      </w:pPr>
      <w:r>
        <w:t>交换原始波形并对齐脉冲起点与十秒取点</w:t>
      </w:r>
    </w:p>
    <w:p>
      <w:pPr>
        <w:numPr>
          <w:ilvl w:val="0"/>
          <w:numId w:val="20"/>
        </w:numPr>
        <w:ind w:left="432" w:hanging="288"/>
      </w:pPr>
      <w:r>
        <w:t>分离连接压降 采样滤波和真实样本差异</w:t>
      </w:r>
    </w:p>
    <w:p>
      <w:pPr>
        <w:numPr>
          <w:ilvl w:val="0"/>
          <w:numId w:val="20"/>
        </w:numPr>
        <w:ind w:left="432" w:hanging="288"/>
      </w:pPr>
      <w:r>
        <w:t>形成跨实验室程序和允许再现性范围</w:t>
      </w:r>
    </w:p>
    <w:p>
      <w:r>
        <w:t>只比较最终DCIR数值无法定位差异，必须追溯到预处理和原始波形。</w:t>
      </w:r>
    </w:p>
    <w:p>
      <w:pPr>
        <w:pStyle w:val="Heading1"/>
      </w:pPr>
      <w:r>
        <w:t>常见误区</w:t>
      </w:r>
    </w:p>
    <w:p>
      <w:r>
        <w:t>以下判断忽略了对象、工况或证据边界。复盘时应说明假设并给出验证方法。</w:t>
      </w:r>
    </w:p>
    <w:p>
      <w:pPr>
        <w:pStyle w:val="Heading2"/>
      </w:pPr>
      <w:r>
        <w:t>误区 1 DCIR是电芯固定参数</w:t>
      </w:r>
    </w:p>
    <w:p>
      <w:r>
        <w:t>DCIR随SOC、温度、方向和脉冲时间变化，必须带条件报告。</w:t>
      </w:r>
    </w:p>
    <w:p>
      <w:pPr>
        <w:pStyle w:val="Heading2"/>
      </w:pPr>
      <w:r>
        <w:t>误区 2 容量等于能量</w:t>
      </w:r>
    </w:p>
    <w:p>
      <w:r>
        <w:t>能量还受工作电压曲线影响，单位分别为Ah和Wh。</w:t>
      </w:r>
    </w:p>
    <w:p>
      <w:pPr>
        <w:pStyle w:val="Heading2"/>
      </w:pPr>
      <w:r>
        <w:t>误区 3 采样频率越高结果一定越准</w:t>
      </w:r>
    </w:p>
    <w:p>
      <w:r>
        <w:t>频率不足会漏掉动态，但精度、同步、滤波和接线同样重要。</w:t>
      </w:r>
    </w:p>
    <w:p>
      <w:pPr>
        <w:pStyle w:val="Heading2"/>
      </w:pPr>
      <w:r>
        <w:t>误区 4 Pack功率可由单体数量直接相乘</w:t>
      </w:r>
    </w:p>
    <w:p>
      <w:r>
        <w:t>连接件、热管理、器件额定值和最弱单体都会改变系统边界。</w:t>
      </w:r>
    </w:p>
    <w:p>
      <w:pPr>
        <w:pStyle w:val="Heading2"/>
      </w:pPr>
      <w:r>
        <w:t>误区 5 仪器精度小于限值就不需要不确定度</w:t>
      </w:r>
    </w:p>
    <w:p>
      <w:r>
        <w:t>多个误差源会合成，判定裕量应与总不确定度比较。</w:t>
      </w:r>
    </w:p>
    <w:p>
      <w:pPr>
        <w:pStyle w:val="Heading1"/>
      </w:pPr>
      <w:r>
        <w:t>本期要点总结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预处理和边界条件决定性能数据能否比较。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容量与能量分别描述电量和电压加权后的可用输出。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HPPC阻抗必须绑定SOC 温度 电流方向和脉冲时间。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功率能力取电压 电流 热和系统器件约束中的最小值。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2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2"/>
        </w:rPr>
        <w:t>测量不确定度和原始数据追溯是性能判定的一部分。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  <w:ind w:left="432" w:hanging="288"/>
      </w:pPr>
      <w:r>
        <w:t>为什么HPPC要在多个SOC点测试</w:t>
      </w:r>
    </w:p>
    <w:p>
      <w:pPr>
        <w:numPr>
          <w:ilvl w:val="0"/>
          <w:numId w:val="21"/>
        </w:numPr>
        <w:ind w:left="432" w:hanging="288"/>
      </w:pPr>
      <w:r>
        <w:t>Ah容量与Wh能量的主要区别是什么</w:t>
      </w:r>
    </w:p>
    <w:p>
      <w:pPr>
        <w:numPr>
          <w:ilvl w:val="0"/>
          <w:numId w:val="21"/>
        </w:numPr>
        <w:ind w:left="432" w:hanging="288"/>
      </w:pPr>
      <w:r>
        <w:t>十秒DCIR比较时必须固定哪些条件</w:t>
      </w:r>
    </w:p>
    <w:p>
      <w:pPr>
        <w:numPr>
          <w:ilvl w:val="0"/>
          <w:numId w:val="21"/>
        </w:numPr>
        <w:ind w:left="432" w:hanging="288"/>
      </w:pPr>
      <w:r>
        <w:t>为什么功率计算要看最弱单体</w:t>
      </w:r>
    </w:p>
    <w:p>
      <w:pPr>
        <w:numPr>
          <w:ilvl w:val="0"/>
          <w:numId w:val="21"/>
        </w:numPr>
        <w:ind w:left="432" w:hanging="288"/>
      </w:pPr>
      <w:r>
        <w:t>如何降低动态能量积分误差</w:t>
      </w:r>
    </w:p>
    <w:p>
      <w:pPr>
        <w:pStyle w:val="Heading2"/>
      </w:pPr>
      <w:r>
        <w:t>答案 1</w:t>
      </w:r>
    </w:p>
    <w:p>
      <w:r>
        <w:t>OCV、阻抗和极化随SOC变化，单点结果不能描述完整功率能力图。</w:t>
      </w:r>
    </w:p>
    <w:p>
      <w:pPr>
        <w:pStyle w:val="Heading2"/>
      </w:pPr>
      <w:r>
        <w:t>答案 2</w:t>
      </w:r>
    </w:p>
    <w:p>
      <w:r>
        <w:t>Ah只积分电流，Wh同时积分电压和电流，因此会反映倍率引起的电压下降。</w:t>
      </w:r>
    </w:p>
    <w:p>
      <w:pPr>
        <w:pStyle w:val="Heading2"/>
      </w:pPr>
      <w:r>
        <w:t>答案 3</w:t>
      </w:r>
    </w:p>
    <w:p>
      <w:r>
        <w:t>至少固定温度、SOC、脉冲幅值和方向、取点时刻、静置与采样方法。</w:t>
      </w:r>
    </w:p>
    <w:p>
      <w:pPr>
        <w:pStyle w:val="Heading2"/>
      </w:pPr>
      <w:r>
        <w:t>答案 4</w:t>
      </w:r>
    </w:p>
    <w:p>
      <w:r>
        <w:t>串联系统中任何单体越过电压或温度边界都会限制整个Pack。</w:t>
      </w:r>
    </w:p>
    <w:p>
      <w:pPr>
        <w:pStyle w:val="Heading2"/>
      </w:pPr>
      <w:r>
        <w:t>答案 5</w:t>
      </w:r>
    </w:p>
    <w:p>
      <w:r>
        <w:t>使用统一时钟同步电压电流，校准零偏与比例误差，并保存原始高频数据复算。</w:t>
      </w:r>
    </w:p>
    <w:p>
      <w:pPr>
        <w:pStyle w:val="Heading1"/>
      </w:pPr>
      <w:r>
        <w:t>下一期预告</w:t>
      </w:r>
    </w:p>
    <w:p>
      <w:r>
        <w:t>第33期将把道路速度轨迹转换为电池功率载荷，学习工况代表性、动态谱缩放和损伤等效。</w:t>
      </w:r>
    </w:p>
    <w:p>
      <w:pPr>
        <w:pStyle w:val="Heading1"/>
      </w:pPr>
      <w:r>
        <w:t>参考资料</w:t>
      </w:r>
    </w:p>
    <w:p>
      <w:r>
        <w:t>以下资料用于建立本期工程框架。所有网页的访问日期均为 2026年10月5日。</w:t>
      </w:r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INL FreedomCAR Battery Test Manual。访问日期：2026年10月5日。</w:t>
      </w:r>
      <w:hyperlink r:id="rId15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美国能源部先进电池开发 系统分析与测试。访问日期：2026年10月5日。</w:t>
      </w:r>
      <w:hyperlink r:id="rId16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IEC 62660-1 2018 动力锂离子电芯性能测试。访问日期：2026年10月5日。</w:t>
      </w:r>
      <w:hyperlink r:id="rId17">
        <w:r>
          <w:rPr>
            <w:color w:val="17365D"/>
            <w:u w:val="single"/>
          </w:rPr>
          <w:t>原文链接</w:t>
        </w:r>
      </w:hyperlink>
    </w:p>
    <w:p>
      <w:pPr>
        <w:ind w:left="360" w:hanging="259"/>
      </w:pPr>
      <w:r>
        <w:rPr>
          <w:rFonts w:ascii="Microsoft YaHei" w:hAnsi="Microsoft YaHei" w:eastAsia="Microsoft YaHei" w:cs="Microsoft YaHei"/>
          <w:b/>
          <w:color w:val="000000"/>
          <w:sz w:val="21"/>
        </w:rPr>
        <w:t xml:space="preserve">•  </w:t>
      </w:r>
      <w:r>
        <w:rPr>
          <w:rFonts w:ascii="Microsoft YaHei" w:hAnsi="Microsoft YaHei" w:eastAsia="Microsoft YaHei" w:cs="Microsoft YaHei"/>
          <w:color w:val="000000"/>
          <w:sz w:val="21"/>
        </w:rPr>
        <w:t>ISO 12405-4 2018 动力电池包与系统性能测试。访问日期：2026年10月5日。</w:t>
      </w:r>
      <w:hyperlink r:id="rId18">
        <w:r>
          <w:rPr>
            <w:color w:val="17365D"/>
            <w:u w:val="single"/>
          </w:rPr>
          <w:t>原文链接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000000"/>
        <w:sz w:val="18"/>
      </w:rPr>
      <w:t xml:space="preserve">2026-10-02  |  </w:t>
    </w:r>
    <w:r>
      <w:rPr>
        <w:rFonts w:ascii="Microsoft YaHei" w:hAnsi="Microsoft YaHei" w:eastAsia="Microsoft YaHei" w:cs="Microsoft YaHei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000000"/>
        <w:sz w:val="18"/>
      </w:rPr>
      <w:t>动力电池深度学习计划 第 32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inldigitallibrary.inl.gov/content/uploads/50/2026/04/3952791.pdf" TargetMode="External"/><Relationship Id="rId16" Type="http://schemas.openxmlformats.org/officeDocument/2006/relationships/hyperlink" Target="https://www.energy.gov/cmei/vehicles/advanced-battery-development-system-analysis-and-testing" TargetMode="External"/><Relationship Id="rId17" Type="http://schemas.openxmlformats.org/officeDocument/2006/relationships/hyperlink" Target="https://webstore.iec.ch/en/publication/28965" TargetMode="External"/><Relationship Id="rId18" Type="http://schemas.openxmlformats.org/officeDocument/2006/relationships/hyperlink" Target="https://www.iso.org/standard/71407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电性能测试与HPPC表征</dc:title>
  <dc:subject>容量 能量 阻抗和功率能力的可重复测量</dc:subject>
  <dc:creator>Codex 动力电池深度学习计划</dc:creator>
  <cp:keywords>动力电池 测试 HPPC 容量 能量 DCIR 功率效率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