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58"/>
        </w:rPr>
        <w:t>道路载荷谱与工况关联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4"/>
        </w:rPr>
        <w:t>从车速轨迹到电池功率与寿命损伤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000000"/>
          <w:sz w:val="20"/>
        </w:rPr>
        <w:t>60天动力电池深度学习  第 33 期  2026-10-03</w:t>
      </w:r>
    </w:p>
    <w:p>
      <w:pPr>
        <w:spacing w:before="280"/>
      </w:pPr>
      <w:r>
        <w:t>本期连接整车道路工况与电池台架测试。我们将把速度、坡度、环境和附件负载转换为Pack功率，再分析SOC窗口、热状态和载荷统计，判断标准循环是否代表真实用户。</w:t>
      </w:r>
    </w:p>
    <w:p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核心判断  </w:t>
      </w:r>
      <w:r>
        <w:rPr>
          <w:rFonts w:ascii="Microsoft YaHei" w:hAnsi="Microsoft YaHei" w:eastAsia="Microsoft YaHei" w:cs="Microsoft YaHei"/>
          <w:color w:val="000000"/>
          <w:sz w:val="22"/>
        </w:rPr>
        <w:t>道路循环只是载荷样本；只有完成车辆参数映射、附件功耗与效率修正，并验证功率和热统计的代表性，才能用于电池性能或寿命结论。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 xml:space="preserve">关键词  </w:t>
      </w:r>
      <w:r>
        <w:rPr>
          <w:rFonts w:ascii="Microsoft YaHei" w:hAnsi="Microsoft YaHei" w:eastAsia="Microsoft YaHei" w:cs="Microsoft YaHei"/>
          <w:color w:val="000000"/>
          <w:sz w:val="20"/>
        </w:rPr>
        <w:t>动力电池 道路载荷 驱动循环 WLTP UDDS 功率谱 损伤等效</w:t>
      </w:r>
    </w:p>
    <w:p>
      <w:pPr>
        <w:pStyle w:val="Heading1"/>
      </w:pPr>
      <w:r>
        <w:t>学习目标</w:t>
      </w:r>
    </w:p>
    <w:p>
      <w:r>
        <w:t>完成本期后，你应能把概念转化为可计算指标、可执行试验和可追溯判断。</w:t>
      </w:r>
    </w:p>
    <w:p>
      <w:pPr>
        <w:numPr>
          <w:ilvl w:val="0"/>
          <w:numId w:val="18"/>
        </w:numPr>
        <w:ind w:left="432" w:hanging="288"/>
      </w:pPr>
      <w:r>
        <w:t>从车速坡度和车辆参数计算牵引力与轮端功率</w:t>
      </w:r>
    </w:p>
    <w:p>
      <w:pPr>
        <w:numPr>
          <w:ilvl w:val="0"/>
          <w:numId w:val="18"/>
        </w:numPr>
        <w:ind w:left="432" w:hanging="288"/>
      </w:pPr>
      <w:r>
        <w:t>将轮端功率映射为Pack电流和SOC变化</w:t>
      </w:r>
    </w:p>
    <w:p>
      <w:pPr>
        <w:numPr>
          <w:ilvl w:val="0"/>
          <w:numId w:val="18"/>
        </w:numPr>
        <w:ind w:left="432" w:hanging="288"/>
      </w:pPr>
      <w:r>
        <w:t>比较城市 高速 激烈驾驶和WLTP等标准工况</w:t>
      </w:r>
    </w:p>
    <w:p>
      <w:pPr>
        <w:numPr>
          <w:ilvl w:val="0"/>
          <w:numId w:val="18"/>
        </w:numPr>
        <w:ind w:left="432" w:hanging="288"/>
      </w:pPr>
      <w:r>
        <w:t>用现场数据建立功率 温度和SOC联合分布</w:t>
      </w:r>
    </w:p>
    <w:p>
      <w:pPr>
        <w:numPr>
          <w:ilvl w:val="0"/>
          <w:numId w:val="18"/>
        </w:numPr>
        <w:ind w:left="432" w:hanging="288"/>
      </w:pPr>
      <w:r>
        <w:t>缩放台架动态谱并检验能量与损伤等效</w:t>
      </w:r>
    </w:p>
    <w:p>
      <w:pPr>
        <w:pStyle w:val="Heading1"/>
      </w:pPr>
      <w:r>
        <w:t>系统总览</w:t>
      </w:r>
    </w:p>
    <w:p>
      <w:r>
        <w:t>车辆速度轨迹通过惯性、滚阻、空气阻力和坡度转化为轮端力。传动效率、回收制动、附件功耗与热管理功耗再把轮端需求变成电池功率。</w:t>
      </w:r>
    </w:p>
    <w:p>
      <w:r>
        <w:t>UDDS代表城市驾驶，HWFET代表高速巡航，US06包含更高加速度；WLTP用于统一的轻型车测试程序。它们适合标准化比较，但不自动覆盖山区、低温、满载或高频快充用户。</w:t>
      </w:r>
    </w:p>
    <w:p>
      <w:r>
        <w:t>电池寿命与峰值功率、RMS电流、能量吞吐、SOC驻留和温度共同相关。动态谱压缩必须保留这些损伤相关统计，并避免把休息与冷却时间删掉后改变主导机理。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道路工况到电池载荷的映射" descr="道路速度加速度坡度和环境经过车辆模型转换为电池功率电流SOC和温度，再形成峰值吞吐分布和损伤指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3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工况关联需要从道路输入一直闭环到电池状态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循环或数据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主要特征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适合回答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不能单独代表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UDDS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低速城市和频繁启停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城市能耗与回收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高速和大坡度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HWFET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较稳定的高速工况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巡航能耗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激烈加速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US06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较高速度和加速度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高功率与热负荷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寒冷和山路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WLTP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分阶段全球协调循环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标准化比较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特定地区用户谱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车队实测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路线与用户真实分布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现场边界和频率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其他车型和地区</w:t>
            </w:r>
          </w:p>
        </w:tc>
      </w:tr>
    </w:tbl>
    <w:p>
      <w:pPr>
        <w:spacing w:after="40"/>
      </w:pPr>
    </w:p>
    <w:p>
      <w:pPr>
        <w:pStyle w:val="Heading1"/>
      </w:pPr>
      <w:r>
        <w:t>一 车速到轮端力</w:t>
      </w:r>
    </w:p>
    <w:p>
      <w:r>
        <w:t>牵引力由加速、滚阻、气动阻力和坡度分量组成。</w:t>
      </w:r>
    </w:p>
    <w:p>
      <w:pPr>
        <w:pStyle w:val="Heading2"/>
      </w:pPr>
      <w:r>
        <w:t>1 1 惯性与道路阻力</w:t>
      </w:r>
    </w:p>
    <w:p>
      <w:r>
        <w:t>加速力与整车等效质量和加速度成正比，等效质量可包含旋转部件惯量。滚阻与质量、重力和滚阻系数相关。</w:t>
      </w:r>
    </w:p>
    <w:p>
      <w:r>
        <w:t>气动阻力随车速平方增加，因此高速阶段对功率和能耗非常敏感。风速应转换为相对空气速度。</w:t>
      </w:r>
    </w:p>
    <w:p>
      <w:pPr>
        <w:pStyle w:val="Heading2"/>
      </w:pPr>
      <w:r>
        <w:t>1 2 坡度与载荷</w:t>
      </w:r>
    </w:p>
    <w:p>
      <w:r>
        <w:t>坡度力与质量、重力和坡角相关。满载、拖挂和道路坡度会同时提高持续功率并减少回收后SOC余量。</w:t>
      </w:r>
    </w:p>
    <w:p>
      <w:r>
        <w:t>速度数据的微分会放大噪声。计算加速度前需要合理滤波，但过度滤波会削弱真实峰值。</w:t>
      </w:r>
    </w:p>
    <w:p>
      <w:pPr>
        <w:jc w:val="center"/>
      </w:pPr>
      <m:oMathPara>
        <m:oMath>
          <m:r>
            <m:t>F_trac = m a + m g C_r + 0.5 ρ C_d A v_rel² + m g sinθ</m:t>
          </m:r>
        </m:oMath>
      </m:oMathPara>
    </w:p>
    <w:p>
      <w:pPr>
        <w:pStyle w:val="Caption"/>
        <w:jc w:val="center"/>
      </w:pPr>
      <w:r>
        <w:t>式 1  F_trac单位 N；m单位 kg；a单位 m/s²；ρ单位 kg/m³；A单位 m²；v_rel单位 m/s；θ为坡角</w:t>
      </w:r>
    </w:p>
    <w:p>
      <w:pPr>
        <w:pStyle w:val="Heading1"/>
      </w:pPr>
      <w:r>
        <w:t>二 轮端功率到电池电流</w:t>
      </w:r>
    </w:p>
    <w:p>
      <w:r>
        <w:t>传动效率和附件负载决定轮端需求如何映射到Pack。</w:t>
      </w:r>
    </w:p>
    <w:p>
      <w:pPr>
        <w:pStyle w:val="Heading2"/>
      </w:pPr>
      <w:r>
        <w:t>2 1 驱动与回收效率</w:t>
      </w:r>
    </w:p>
    <w:p>
      <w:r>
        <w:t>驱动时电池功率大于轮端功率，差额来自逆变器、电机和传动损耗；回收时能量方向相反，并受回收功率、制动稳定性和SOC限制。</w:t>
      </w:r>
    </w:p>
    <w:p>
      <w:r>
        <w:t>效率不是常数，应随转速、转矩、电压和温度变化。使用固定效率会在低负载和回收阶段产生系统偏差。</w:t>
      </w:r>
    </w:p>
    <w:p>
      <w:pPr>
        <w:pStyle w:val="Heading2"/>
      </w:pPr>
      <w:r>
        <w:t>2 2 附件与热管理负载</w:t>
      </w:r>
    </w:p>
    <w:p>
      <w:r>
        <w:t>空调、加热、泵、风扇和电子系统可在低温或高温时占据显著能量。它们与车速并不同步，必须作为独立时间序列加入。</w:t>
      </w:r>
    </w:p>
    <w:p>
      <w:r>
        <w:t>由功率计算电流时要使用动态端电压。用固定标称电压会低估低SOC高功率时的电流与热负荷。</w:t>
      </w:r>
    </w:p>
    <w:p>
      <w:pPr>
        <w:jc w:val="center"/>
      </w:pPr>
      <m:oMathPara>
        <m:oMath>
          <m:r>
            <m:t>P_batt = F_trac v / η_drv + P_aux</m:t>
          </m:r>
        </m:oMath>
      </m:oMathPara>
    </w:p>
    <w:p>
      <w:pPr>
        <w:pStyle w:val="Caption"/>
        <w:jc w:val="center"/>
      </w:pPr>
      <w:r>
        <w:t>式 2  P_batt单位 W；F_trac单位 N；v单位 m/s；η_drv为无量纲驱动效率；P_aux单位 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映射环节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主要输入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常见简化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可能偏差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车辆阻力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质量 风阻 滚阻 坡度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忽略风和坡度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持续功率偏低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传动系统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效率图和方向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固定效率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低负载失真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附件系统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环境与控制状态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固定辅助功耗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冬夏能耗失真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电池端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动态电压和限制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使用标称电压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电流与热量偏差</w:t>
            </w:r>
          </w:p>
        </w:tc>
      </w:tr>
    </w:tbl>
    <w:p>
      <w:pPr>
        <w:spacing w:after="40"/>
      </w:pPr>
    </w:p>
    <w:p>
      <w:pPr>
        <w:pStyle w:val="Heading1"/>
      </w:pPr>
      <w:r>
        <w:t>三 标准循环与适用范围</w:t>
      </w:r>
    </w:p>
    <w:p>
      <w:r>
        <w:t>标准循环提供可重复比较，但必须理解其速度 加速度 停车和环境边界。</w:t>
      </w:r>
    </w:p>
    <w:p>
      <w:pPr>
        <w:pStyle w:val="Heading2"/>
      </w:pPr>
      <w:r>
        <w:t>3 1 城市 高速与激烈驾驶</w:t>
      </w:r>
    </w:p>
    <w:p>
      <w:r>
        <w:t>UDDS包含城市启停，HWFET更接近稳定高速，US06强调高速度和高加速度。不同循环对峰值功率、回收能量和热状态的刺激不同。</w:t>
      </w:r>
    </w:p>
    <w:p>
      <w:r>
        <w:t>EPA公开页面提供一赫兹速度轨迹，可用于模型复现。法规试验仍应以正式法规文本和受控程序为准。</w:t>
      </w:r>
    </w:p>
    <w:p>
      <w:pPr>
        <w:pStyle w:val="Heading2"/>
      </w:pPr>
      <w:r>
        <w:t>3 2 WLTP与认证循环</w:t>
      </w:r>
    </w:p>
    <w:p>
      <w:r>
        <w:t>WLTP通过全球协调的速度阶段支持型式试验比较。它是合规与标准化工具，不等于任一地区车队的寿命使用谱。</w:t>
      </w:r>
    </w:p>
    <w:p>
      <w:r>
        <w:t>将认证循环用于电池寿命时，应补充环境温度、载荷、坡度和充电事件，并检查电池功率统计是否覆盖真实边界。</w:t>
      </w:r>
    </w:p>
    <w:p>
      <w:pPr>
        <w:jc w:val="center"/>
      </w:pPr>
      <m:oMathPara>
        <m:oMath>
          <m:r>
            <m:t>P_RMS = sqrt[Σ P_k² / n]</m:t>
          </m:r>
        </m:oMath>
      </m:oMathPara>
    </w:p>
    <w:p>
      <w:pPr>
        <w:pStyle w:val="Caption"/>
        <w:jc w:val="center"/>
      </w:pPr>
      <w:r>
        <w:t>式 3  P_RMS为功率均方根，单位 W；P_k为第k个采样点功率，n为采样点数量</w:t>
      </w:r>
    </w:p>
    <w:p>
      <w:pPr>
        <w:pStyle w:val="Heading1"/>
      </w:pPr>
      <w:r>
        <w:t>四 现场载荷谱与统计</w:t>
      </w:r>
    </w:p>
    <w:p>
      <w:r>
        <w:t>车队数据用于识别标准循环未覆盖的频率和联合状态。</w:t>
      </w:r>
    </w:p>
    <w:p>
      <w:pPr>
        <w:pStyle w:val="Heading2"/>
      </w:pPr>
      <w:r>
        <w:t>4 1 数据清洗与分段</w:t>
      </w:r>
    </w:p>
    <w:p>
      <w:r>
        <w:t>现场数据应先处理时间戳、缺失、漂移和传感器故障，再按行程、充电、停车和热管理事件分段。异常值不能在不了解原因时直接删除。</w:t>
      </w:r>
    </w:p>
    <w:p>
      <w:r>
        <w:t>隐私和数据权限应在采集前定义。工程分析通常不需要精确个人位置，可使用路线类别、坡度和气候区域等派生特征。</w:t>
      </w:r>
    </w:p>
    <w:p>
      <w:pPr>
        <w:pStyle w:val="Heading2"/>
      </w:pPr>
      <w:r>
        <w:t>4 2 联合分布</w:t>
      </w:r>
    </w:p>
    <w:p>
      <w:r>
        <w:t>单独统计功率峰值不足以描述寿命。应构建功率、SOC、温度和持续时间的联合分布，并标识充电与放电方向。</w:t>
      </w:r>
    </w:p>
    <w:p>
      <w:r>
        <w:t>极少见的高风险事件不应被平均值掩盖。可用分位数、持续时间超限和事件计数描述尾部。</w:t>
      </w:r>
    </w:p>
    <w:p>
      <w:pPr>
        <w:jc w:val="center"/>
      </w:pPr>
      <m:oMathPara>
        <m:oMath>
          <m:r>
            <m:t>E_throughput = ∫ |P_batt(t)| dt / 3600</m:t>
          </m:r>
        </m:oMath>
      </m:oMathPara>
    </w:p>
    <w:p>
      <w:pPr>
        <w:pStyle w:val="Caption"/>
        <w:jc w:val="center"/>
      </w:pPr>
      <w:r>
        <w:t>式 4  E_throughput为绝对能量吞吐，单位 Wh；P_batt单位 W；t单位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统计量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物理意义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寿命关联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局限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峰值功率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瞬时边界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压降与器件应力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忽略频率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RMS电流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热负荷近似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I²R发热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忽略SOC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能量吞吐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累计使用强度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循环损伤代理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忽略倍率和温度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联合驻留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多维状态时间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日历与循环耦合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数据量较大</w:t>
            </w:r>
          </w:p>
        </w:tc>
      </w:tr>
    </w:tbl>
    <w:p>
      <w:pPr>
        <w:spacing w:after="40"/>
      </w:pPr>
    </w:p>
    <w:p>
      <w:pPr>
        <w:pStyle w:val="Heading1"/>
      </w:pPr>
      <w:r>
        <w:t>五 动态谱缩放与台架重放</w:t>
      </w:r>
    </w:p>
    <w:p>
      <w:r>
        <w:t>缩放需要保持系统级功率需求与样件能力之间的物理对应。</w:t>
      </w:r>
    </w:p>
    <w:p>
      <w:pPr>
        <w:pStyle w:val="Heading2"/>
      </w:pPr>
      <w:r>
        <w:t>5 1 电池尺寸因子</w:t>
      </w:r>
    </w:p>
    <w:p>
      <w:r>
        <w:t>FreedomCAR手册使用电池尺寸因子把系统功率谱缩放到单体、模组或子电池。尺寸因子应同时满足功率、能量、寿命和系统负担。</w:t>
      </w:r>
    </w:p>
    <w:p>
      <w:r>
        <w:t>只按容量比缩放可能使脉冲倍率超出样件设计。应检查电压、电流、C率、温升和SOC摆幅。</w:t>
      </w:r>
    </w:p>
    <w:p>
      <w:pPr>
        <w:pStyle w:val="Heading2"/>
      </w:pPr>
      <w:r>
        <w:t>5 2 SOC与热闭环</w:t>
      </w:r>
    </w:p>
    <w:p>
      <w:r>
        <w:t>台架重放应保证循环起止SOC满足程序要求，并保留影响热平衡的休息时间。若删除低功率段，温度和极化状态会偏离真实工况。</w:t>
      </w:r>
    </w:p>
    <w:p>
      <w:r>
        <w:t>控制器限功率或热管理动作也是使用谱的一部分。开环重复功率命令可能绕过真实系统保护。</w:t>
      </w:r>
    </w:p>
    <w:p>
      <w:pPr>
        <w:jc w:val="center"/>
      </w:pPr>
      <m:oMathPara>
        <m:oMath>
          <m:r>
            <m:t>P_DUT(t) = P_system(t) / BSF</m:t>
          </m:r>
        </m:oMath>
      </m:oMathPara>
    </w:p>
    <w:p>
      <w:pPr>
        <w:pStyle w:val="Caption"/>
        <w:jc w:val="center"/>
      </w:pPr>
      <w:r>
        <w:t>式 5  P_DUT为被测样件功率 W；P_system为系统级功率 W；BSF为无量纲电池尺寸因子</w:t>
      </w:r>
    </w:p>
    <w:p>
      <w:pPr>
        <w:pStyle w:val="Heading1"/>
      </w:pPr>
      <w:r>
        <w:t>六 代表性与损伤等效</w:t>
      </w:r>
    </w:p>
    <w:p>
      <w:r>
        <w:t>代表性要同时比较性能统计、热状态和预期损伤，而非只闭合总能量。</w:t>
      </w:r>
    </w:p>
    <w:p>
      <w:pPr>
        <w:pStyle w:val="Heading2"/>
      </w:pPr>
      <w:r>
        <w:t>6 1 多指标匹配</w:t>
      </w:r>
    </w:p>
    <w:p>
      <w:r>
        <w:t>候选工况应比较峰值、分位数、RMS、吞吐、SOC驻留、温度分布和休息比例。单一指标相同并不保证相同的退化机理。</w:t>
      </w:r>
    </w:p>
    <w:p>
      <w:r>
        <w:t>若目标是快充寿命，还要匹配充电前温度、SOC和冷却状态；若目标是功率寿命，则需匹配脉冲持续时间和恢复时间。</w:t>
      </w:r>
    </w:p>
    <w:p>
      <w:pPr>
        <w:pStyle w:val="Heading2"/>
      </w:pPr>
      <w:r>
        <w:t>6 2 损伤模型与验证</w:t>
      </w:r>
    </w:p>
    <w:p>
      <w:r>
        <w:t>可用分箱损伤或机理模型把不同工况映射为累计损伤，但模型必须由寿命试验验证。Miner线性累积只是一种近似。</w:t>
      </w:r>
    </w:p>
    <w:p>
      <w:r>
        <w:t>压缩谱应先在少量样本上与原始谱对照，确认容量、阻抗和热响应趋势一致，再用于大规模加速。</w:t>
      </w:r>
    </w:p>
    <w:p>
      <w:pPr>
        <w:jc w:val="center"/>
      </w:pPr>
      <m:oMathPara>
        <m:oMath>
          <m:r>
            <m:t>D_eq = Σ n_i / N_i</m:t>
          </m:r>
        </m:oMath>
      </m:oMathPara>
    </w:p>
    <w:p>
      <w:pPr>
        <w:pStyle w:val="Caption"/>
        <w:jc w:val="center"/>
      </w:pPr>
      <w:r>
        <w:t>式 6  D_eq为无量纲等效损伤；n_i为第i类事件实际次数；N_i为该事件条件下的寿命次数</w:t>
      </w:r>
    </w:p>
    <w:p>
      <w:pPr>
        <w:pStyle w:val="Heading1"/>
      </w:pPr>
      <w:r>
        <w:t>工程检查表</w:t>
      </w:r>
    </w:p>
    <w:p>
      <w:r>
        <w:t>将道路数据转换为台架谱时，用以下步骤保持可追溯性。</w:t>
      </w:r>
    </w:p>
    <w:p>
      <w:pPr>
        <w:numPr>
          <w:ilvl w:val="0"/>
          <w:numId w:val="19"/>
        </w:numPr>
        <w:ind w:left="432" w:hanging="288"/>
      </w:pPr>
      <w:r>
        <w:t>记录车辆质量 风阻 滚阻 坡度 载荷和轮胎参数</w:t>
      </w:r>
    </w:p>
    <w:p>
      <w:pPr>
        <w:numPr>
          <w:ilvl w:val="0"/>
          <w:numId w:val="19"/>
        </w:numPr>
        <w:ind w:left="432" w:hanging="288"/>
      </w:pPr>
      <w:r>
        <w:t>使用驱动与回收方向分别标定的效率图</w:t>
      </w:r>
    </w:p>
    <w:p>
      <w:pPr>
        <w:numPr>
          <w:ilvl w:val="0"/>
          <w:numId w:val="19"/>
        </w:numPr>
        <w:ind w:left="432" w:hanging="288"/>
      </w:pPr>
      <w:r>
        <w:t>加入附件和热管理功耗并使用动态Pack电压</w:t>
      </w:r>
    </w:p>
    <w:p>
      <w:pPr>
        <w:numPr>
          <w:ilvl w:val="0"/>
          <w:numId w:val="19"/>
        </w:numPr>
        <w:ind w:left="432" w:hanging="288"/>
      </w:pPr>
      <w:r>
        <w:t>比较标准循环与车队数据的功率 SOC 温度联合分布</w:t>
      </w:r>
    </w:p>
    <w:p>
      <w:pPr>
        <w:numPr>
          <w:ilvl w:val="0"/>
          <w:numId w:val="19"/>
        </w:numPr>
        <w:ind w:left="432" w:hanging="288"/>
      </w:pPr>
      <w:r>
        <w:t>验证缩放谱的SOC闭合 热状态和损伤等效</w:t>
      </w:r>
    </w:p>
    <w:p>
      <w:pPr>
        <w:pStyle w:val="Heading1"/>
      </w:pPr>
      <w:r>
        <w:t>案例推演</w:t>
      </w:r>
    </w:p>
    <w:p>
      <w:r>
        <w:t>场景 车辆在认证循环中能耗优秀 但山地车队频繁触发限功率</w:t>
      </w:r>
    </w:p>
    <w:p>
      <w:r>
        <w:t>认证循环没有覆盖长坡、满载和高温冷却饱和，现场持续功率与温度尾部明显更高。</w:t>
      </w:r>
    </w:p>
    <w:p>
      <w:pPr>
        <w:numPr>
          <w:ilvl w:val="0"/>
          <w:numId w:val="20"/>
        </w:numPr>
        <w:ind w:left="432" w:hanging="288"/>
      </w:pPr>
      <w:r>
        <w:t>提取现场路线坡度 质量 环境和附件负载</w:t>
      </w:r>
    </w:p>
    <w:p>
      <w:pPr>
        <w:numPr>
          <w:ilvl w:val="0"/>
          <w:numId w:val="20"/>
        </w:numPr>
        <w:ind w:left="432" w:hanging="288"/>
      </w:pPr>
      <w:r>
        <w:t>重算轮端与电池功率并核对电压电流实测值</w:t>
      </w:r>
    </w:p>
    <w:p>
      <w:pPr>
        <w:numPr>
          <w:ilvl w:val="0"/>
          <w:numId w:val="20"/>
        </w:numPr>
        <w:ind w:left="432" w:hanging="288"/>
      </w:pPr>
      <w:r>
        <w:t>比较认证循环与现场的持续功率 温度和SOC联合分布</w:t>
      </w:r>
    </w:p>
    <w:p>
      <w:pPr>
        <w:numPr>
          <w:ilvl w:val="0"/>
          <w:numId w:val="20"/>
        </w:numPr>
        <w:ind w:left="432" w:hanging="288"/>
      </w:pPr>
      <w:r>
        <w:t>构建包含长坡与冷却限制的台架重放谱</w:t>
      </w:r>
    </w:p>
    <w:p>
      <w:pPr>
        <w:numPr>
          <w:ilvl w:val="0"/>
          <w:numId w:val="20"/>
        </w:numPr>
        <w:ind w:left="432" w:hanging="288"/>
      </w:pPr>
      <w:r>
        <w:t>更新持续SOP和热管理控制并在代表性路线验证</w:t>
      </w:r>
    </w:p>
    <w:p>
      <w:r>
        <w:t>认证循环结果仍可用于标准化比较，但不能替代特定运营场景的边界验证。</w:t>
      </w:r>
    </w:p>
    <w:p>
      <w:pPr>
        <w:pStyle w:val="Heading1"/>
      </w:pPr>
      <w:r>
        <w:t>常见误区</w:t>
      </w:r>
    </w:p>
    <w:p>
      <w:r>
        <w:t>以下判断忽略了对象、工况或证据边界。复盘时应说明假设并给出验证方法。</w:t>
      </w:r>
    </w:p>
    <w:p>
      <w:pPr>
        <w:pStyle w:val="Heading2"/>
      </w:pPr>
      <w:r>
        <w:t>误区 1 总能量相同的两个循环等效</w:t>
      </w:r>
    </w:p>
    <w:p>
      <w:r>
        <w:t>峰值、RMS、SOC、温度和休息比例不同会产生不同性能与寿命后果。</w:t>
      </w:r>
    </w:p>
    <w:p>
      <w:pPr>
        <w:pStyle w:val="Heading2"/>
      </w:pPr>
      <w:r>
        <w:t>误区 2 标准循环代表所有真实用户</w:t>
      </w:r>
    </w:p>
    <w:p>
      <w:r>
        <w:t>标准循环是可重复样本，真实路线、气候和驾驶风格需要现场数据补充。</w:t>
      </w:r>
    </w:p>
    <w:p>
      <w:pPr>
        <w:pStyle w:val="Heading2"/>
      </w:pPr>
      <w:r>
        <w:t>误区 3 固定传动效率足以计算电池功率</w:t>
      </w:r>
    </w:p>
    <w:p>
      <w:r>
        <w:t>效率随转速、转矩、方向和温度变化，固定值会造成系统偏差。</w:t>
      </w:r>
    </w:p>
    <w:p>
      <w:pPr>
        <w:pStyle w:val="Heading2"/>
      </w:pPr>
      <w:r>
        <w:t>误区 4 删除停车段只会缩短试验时间</w:t>
      </w:r>
    </w:p>
    <w:p>
      <w:r>
        <w:t>停车会改变冷却、极化恢复和日历驻留，删除后可能改变主导机理。</w:t>
      </w:r>
    </w:p>
    <w:p>
      <w:pPr>
        <w:pStyle w:val="Heading2"/>
      </w:pPr>
      <w:r>
        <w:t>误区 5 峰值功率决定全部寿命损伤</w:t>
      </w:r>
    </w:p>
    <w:p>
      <w:r>
        <w:t>持续时间、事件频率、SOC和温度共同决定累积损伤。</w:t>
      </w:r>
    </w:p>
    <w:p>
      <w:pPr>
        <w:pStyle w:val="Heading1"/>
      </w:pPr>
      <w:r>
        <w:t>本期要点总结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车速需要通过车辆阻力和效率模型映射为电池载荷。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附件与热管理功耗在极端温度下不能忽略。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标准循环适合比较，但不自动代表特定用户或地区。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现场谱应保留功率 SOC 温度和时间的联合信息。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台架缩放必须验证SOC闭合 热状态和损伤等效。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  <w:ind w:left="432" w:hanging="288"/>
      </w:pPr>
      <w:r>
        <w:t>为什么高速能耗对空气阻力敏感</w:t>
      </w:r>
    </w:p>
    <w:p>
      <w:pPr>
        <w:numPr>
          <w:ilvl w:val="0"/>
          <w:numId w:val="21"/>
        </w:numPr>
        <w:ind w:left="432" w:hanging="288"/>
      </w:pPr>
      <w:r>
        <w:t>US06与UDDS对电池刺激有何主要差异</w:t>
      </w:r>
    </w:p>
    <w:p>
      <w:pPr>
        <w:numPr>
          <w:ilvl w:val="0"/>
          <w:numId w:val="21"/>
        </w:numPr>
        <w:ind w:left="432" w:hanging="288"/>
      </w:pPr>
      <w:r>
        <w:t>为何使用固定标称电压会低估电流</w:t>
      </w:r>
    </w:p>
    <w:p>
      <w:pPr>
        <w:numPr>
          <w:ilvl w:val="0"/>
          <w:numId w:val="21"/>
        </w:numPr>
        <w:ind w:left="432" w:hanging="288"/>
      </w:pPr>
      <w:r>
        <w:t>动态谱缩放时为什么不能只按容量比</w:t>
      </w:r>
    </w:p>
    <w:p>
      <w:pPr>
        <w:numPr>
          <w:ilvl w:val="0"/>
          <w:numId w:val="21"/>
        </w:numPr>
        <w:ind w:left="432" w:hanging="288"/>
      </w:pPr>
      <w:r>
        <w:t>如何判断一个标准循环代表车队</w:t>
      </w:r>
    </w:p>
    <w:p>
      <w:pPr>
        <w:pStyle w:val="Heading2"/>
      </w:pPr>
      <w:r>
        <w:t>答案 1</w:t>
      </w:r>
    </w:p>
    <w:p>
      <w:r>
        <w:t>气动阻力随相对车速平方增长，所需气动功率还要再乘车速。</w:t>
      </w:r>
    </w:p>
    <w:p>
      <w:pPr>
        <w:pStyle w:val="Heading2"/>
      </w:pPr>
      <w:r>
        <w:t>答案 2</w:t>
      </w:r>
    </w:p>
    <w:p>
      <w:r>
        <w:t>US06具有更高速度和加速度，更容易形成高功率与热负荷；UDDS更强调城市启停和回收。</w:t>
      </w:r>
    </w:p>
    <w:p>
      <w:pPr>
        <w:pStyle w:val="Heading2"/>
      </w:pPr>
      <w:r>
        <w:t>答案 3</w:t>
      </w:r>
    </w:p>
    <w:p>
      <w:r>
        <w:t>低SOC或高负载时端电压低于标称值，相同功率需要更大电流。</w:t>
      </w:r>
    </w:p>
    <w:p>
      <w:pPr>
        <w:pStyle w:val="Heading2"/>
      </w:pPr>
      <w:r>
        <w:t>答案 4</w:t>
      </w:r>
    </w:p>
    <w:p>
      <w:r>
        <w:t>样件还需满足功率、C率、温升和寿命边界，容量比不能保证这些条件。</w:t>
      </w:r>
    </w:p>
    <w:p>
      <w:pPr>
        <w:pStyle w:val="Heading2"/>
      </w:pPr>
      <w:r>
        <w:t>答案 5</w:t>
      </w:r>
    </w:p>
    <w:p>
      <w:r>
        <w:t>比较速度之外的电池功率、SOC、温度、吞吐、事件尾部和休息比例，并用现场结果验证。</w:t>
      </w:r>
    </w:p>
    <w:p>
      <w:pPr>
        <w:pStyle w:val="Heading1"/>
      </w:pPr>
      <w:r>
        <w:t>下一期预告</w:t>
      </w:r>
    </w:p>
    <w:p>
      <w:r>
        <w:t>第34期将讲解安全测试方法与滥用试验，重点讨论热 电 机械滥用、触发方法、传播评价和实验室安全。</w:t>
      </w:r>
    </w:p>
    <w:p>
      <w:pPr>
        <w:pStyle w:val="Heading1"/>
      </w:pPr>
      <w:r>
        <w:t>参考资料</w:t>
      </w:r>
    </w:p>
    <w:p>
      <w:r>
        <w:t>以下资料用于建立本期工程框架。所有网页的访问日期均为 2026年10月5日。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美国环保署车辆底盘测功机驾驶循环。访问日期：2026年10月5日。</w:t>
      </w:r>
      <w:hyperlink r:id="rId15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UNECE UN Regulation No. 154 WLTP。访问日期：2026年10月5日。</w:t>
      </w:r>
      <w:hyperlink r:id="rId16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UNECE 全球技术法规与WLTP修订。访问日期：2026年10月5日。</w:t>
      </w:r>
      <w:hyperlink r:id="rId17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INL FreedomCAR Battery Test Manual。访问日期：2026年10月5日。</w:t>
      </w:r>
      <w:hyperlink r:id="rId18">
        <w:r>
          <w:rPr>
            <w:color w:val="17365D"/>
            <w:u w:val="single"/>
          </w:rPr>
          <w:t>原文链接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t xml:space="preserve">2026-10-03  |  </w:t>
    </w:r>
    <w:r>
      <w:rPr>
        <w:rFonts w:ascii="Microsoft YaHei" w:hAnsi="Microsoft YaHei" w:eastAsia="Microsoft YaHei" w:cs="Microsoft YaHe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8"/>
      </w:rPr>
      <w:t>动力电池深度学习计划 第 33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epa.gov/vehicle-and-fuel-emissions-testing/dynamometer-drive-schedules" TargetMode="External"/><Relationship Id="rId16" Type="http://schemas.openxmlformats.org/officeDocument/2006/relationships/hyperlink" Target="https://unece.org/transport/documents/2021/02/standards/un-regulation-no-154-worldwide-harmonized-light-vehicles-test" TargetMode="External"/><Relationship Id="rId17" Type="http://schemas.openxmlformats.org/officeDocument/2006/relationships/hyperlink" Target="https://unece.org/transport/standards/transport/vehicle-regulations-wp29/global-technical-regulations-gtrs" TargetMode="External"/><Relationship Id="rId18" Type="http://schemas.openxmlformats.org/officeDocument/2006/relationships/hyperlink" Target="https://inldigitallibrary.inl.gov/content/uploads/50/2026/04/395279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道路载荷谱与工况关联</dc:title>
  <dc:subject>从车速轨迹到电池功率与寿命损伤</dc:subject>
  <dc:creator>Codex 动力电池深度学习计划</dc:creator>
  <cp:keywords>动力电池 道路载荷 驱动循环 WLTP UDDS 功率谱 损伤等效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