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58"/>
        </w:rPr>
        <w:t>标准法规与合规验证</w:t>
      </w:r>
    </w:p>
    <w:p>
      <w:pPr>
        <w:pStyle w:val="Subtitle"/>
        <w:jc w:val="center"/>
      </w:pPr>
      <w:r>
        <w:rPr>
          <w:rFonts w:ascii="Microsoft YaHei" w:hAnsi="Microsoft YaHei" w:eastAsia="Microsoft YaHei" w:cs="Microsoft YaHei"/>
          <w:color w:val="000000"/>
          <w:sz w:val="24"/>
        </w:rPr>
        <w:t>适用性矩阵 版本控制与证据闭环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000000"/>
          <w:sz w:val="20"/>
        </w:rPr>
        <w:t>60天动力电池深度学习  第 35 期  2026-10-05</w:t>
      </w:r>
    </w:p>
    <w:p>
      <w:pPr>
        <w:spacing w:before="280"/>
      </w:pPr>
      <w:r>
        <w:t>本期不罗列孤立的标准编号，而是建立合规工程方法。我们将区分法规、强制性标准、推荐性标准和企业规范，确认对象与市场适用性，并把每条要求连接到样件、程序、原始数据和批准记录。</w:t>
      </w:r>
    </w:p>
    <w:p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核心判断  </w:t>
      </w:r>
      <w:r>
        <w:rPr>
          <w:rFonts w:ascii="Microsoft YaHei" w:hAnsi="Microsoft YaHei" w:eastAsia="Microsoft YaHei" w:cs="Microsoft YaHei"/>
          <w:color w:val="000000"/>
          <w:sz w:val="22"/>
        </w:rPr>
        <w:t>合规不是一次通过测试，而是对适用要求、有效版本、代表样件、测量不确定度和产品变更进行持续控制。</w:t>
      </w:r>
    </w:p>
    <w:p>
      <w:r>
        <w:rPr>
          <w:rFonts w:ascii="Microsoft YaHei" w:hAnsi="Microsoft YaHei" w:eastAsia="Microsoft YaHei" w:cs="Microsoft YaHei"/>
          <w:b/>
          <w:color w:val="000000"/>
          <w:sz w:val="20"/>
        </w:rPr>
        <w:t xml:space="preserve">关键词  </w:t>
      </w:r>
      <w:r>
        <w:rPr>
          <w:rFonts w:ascii="Microsoft YaHei" w:hAnsi="Microsoft YaHei" w:eastAsia="Microsoft YaHei" w:cs="Microsoft YaHei"/>
          <w:color w:val="000000"/>
          <w:sz w:val="20"/>
        </w:rPr>
        <w:t>动力电池 GB 38031 UN R100 ISO 12405 IEC 62660 合规 追溯</w:t>
      </w:r>
    </w:p>
    <w:p>
      <w:pPr>
        <w:pStyle w:val="Heading1"/>
      </w:pPr>
      <w:r>
        <w:t>学习目标</w:t>
      </w:r>
    </w:p>
    <w:p>
      <w:r>
        <w:t>完成本期后，你应能把概念转化为可计算指标、可执行试验和可追溯判断。</w:t>
      </w:r>
    </w:p>
    <w:p>
      <w:pPr>
        <w:numPr>
          <w:ilvl w:val="0"/>
          <w:numId w:val="18"/>
        </w:numPr>
        <w:ind w:left="432" w:hanging="288"/>
      </w:pPr>
      <w:r>
        <w:t>区分法规 强制标准 自愿标准和客户规范的作用</w:t>
      </w:r>
    </w:p>
    <w:p>
      <w:pPr>
        <w:numPr>
          <w:ilvl w:val="0"/>
          <w:numId w:val="18"/>
        </w:numPr>
        <w:ind w:left="432" w:hanging="288"/>
      </w:pPr>
      <w:r>
        <w:t>按市场 车型 电压等级和试验对象建立适用性矩阵</w:t>
      </w:r>
    </w:p>
    <w:p>
      <w:pPr>
        <w:numPr>
          <w:ilvl w:val="0"/>
          <w:numId w:val="18"/>
        </w:numPr>
        <w:ind w:left="432" w:hanging="288"/>
      </w:pPr>
      <w:r>
        <w:t>识别标准版本 生效日期和替代关系</w:t>
      </w:r>
    </w:p>
    <w:p>
      <w:pPr>
        <w:numPr>
          <w:ilvl w:val="0"/>
          <w:numId w:val="18"/>
        </w:numPr>
        <w:ind w:left="432" w:hanging="288"/>
      </w:pPr>
      <w:r>
        <w:t>构建要求到测试报告与原始数据的追溯链</w:t>
      </w:r>
    </w:p>
    <w:p>
      <w:pPr>
        <w:numPr>
          <w:ilvl w:val="0"/>
          <w:numId w:val="18"/>
        </w:numPr>
        <w:ind w:left="432" w:hanging="288"/>
      </w:pPr>
      <w:r>
        <w:t>用不确定度 代表性和变更控制维护合规状态</w:t>
      </w:r>
    </w:p>
    <w:p>
      <w:pPr>
        <w:pStyle w:val="Heading1"/>
      </w:pPr>
      <w:r>
        <w:t>系统总览</w:t>
      </w:r>
    </w:p>
    <w:p>
      <w:r>
        <w:t>同一动力电池项目可能同时面对市场准入法规、国家强制标准、国际测试规范和客户企业标准。文件名称相近不代表法律效力或适用对象相同，必须由合规责任人确认正式受控文本。</w:t>
      </w:r>
    </w:p>
    <w:p>
      <w:r>
        <w:t>截至2026年10月5日，国家标准公开平台显示GB 38031-2025为现行强制性国家标准，发布于2025年3月28日，自2026年7月1日起实施，并替代GB 38031-2020。项目文件应明确使用的版本与生效日期。</w:t>
      </w:r>
    </w:p>
    <w:p>
      <w:r>
        <w:t>UN Regulation No. 100涉及电驱动车辆和可充电储能系统安全；ISO 12405-4覆盖动力电池包与系统性能测试；IEC 62660系列覆盖动力锂离子电芯的性能、可靠性和滥用测试。这些文件的层级、对象与适用市场不同，不能互相替代。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合规要求到产品证据的闭环" descr="合规流程从识别市场法规标准和客户条款开始，确认对象版本和生效日期，执行验证后通过变更复审持续维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35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合规证据必须同时满足要求 技术和时间三条主线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文件类型</w:t>
            </w:r>
          </w:p>
        </w:tc>
        <w:tc>
          <w:tcPr>
            <w:tcW w:type="dxa" w:w="223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223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主要对象</w:t>
            </w:r>
          </w:p>
        </w:tc>
        <w:tc>
          <w:tcPr>
            <w:tcW w:type="dxa" w:w="295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工程作用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强制国家标准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GB 38031-2025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中国市场动力蓄电池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市场准入安全要求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联合国法规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UN Regulation No. 100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电驱动车辆与REESS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缔约方型式批准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国际标准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ISO 12405-4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电池包与系统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性能测试方法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国际电工标准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IEC 62660-1和2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动力锂离子电芯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性能与滥用测试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企业规范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客户与内部要求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指定产品和项目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补充边界与质量门槛</w:t>
            </w:r>
          </w:p>
        </w:tc>
      </w:tr>
    </w:tbl>
    <w:p>
      <w:pPr>
        <w:spacing w:after="40"/>
      </w:pPr>
    </w:p>
    <w:p>
      <w:pPr>
        <w:pStyle w:val="Heading1"/>
      </w:pPr>
      <w:r>
        <w:t>一 法规 标准与规范层级</w:t>
      </w:r>
    </w:p>
    <w:p>
      <w:r>
        <w:t>文件层级决定约束来源、适用市场和变更责任。</w:t>
      </w:r>
    </w:p>
    <w:p>
      <w:pPr>
        <w:pStyle w:val="Heading2"/>
      </w:pPr>
      <w:r>
        <w:t>1 1 法律效力与采用方式</w:t>
      </w:r>
    </w:p>
    <w:p>
      <w:r>
        <w:t>法规或强制性国家标准直接关联市场准入，国际标准通常提供统一测试方法或技术语言，是否强制取决于法规、合同或认证方案的引用。</w:t>
      </w:r>
    </w:p>
    <w:p>
      <w:r>
        <w:t>客户规范可以比法规更严格，但不能降低法定要求。项目应记录每条要求的来源、版本和优先级冲突处理。</w:t>
      </w:r>
    </w:p>
    <w:p>
      <w:pPr>
        <w:pStyle w:val="Heading2"/>
      </w:pPr>
      <w:r>
        <w:t>1 2 产品与组织责任</w:t>
      </w:r>
    </w:p>
    <w:p>
      <w:r>
        <w:t>合规团队负责法规解释和受控版本，工程团队负责试验方法与设计响应，质量团队负责样件代表性、设备状态和记录完整性。</w:t>
      </w:r>
    </w:p>
    <w:p>
      <w:r>
        <w:t>实验室出具报告不等于产品自动获批。申请主体还需完成车型、零部件、生产一致性和证书维护等流程。</w:t>
      </w:r>
    </w:p>
    <w:p>
      <w:pPr>
        <w:jc w:val="center"/>
      </w:pPr>
      <m:oMathPara>
        <m:oMath>
          <m:r>
            <m:t>C_req = N_pass / N_app × 100%</m:t>
          </m:r>
        </m:oMath>
      </m:oMathPara>
    </w:p>
    <w:p>
      <w:pPr>
        <w:pStyle w:val="Caption"/>
        <w:jc w:val="center"/>
      </w:pPr>
      <w:r>
        <w:t>式 1  C_req为适用要求通过率；N_pass为已通过且证据有效的要求数；N_app为适用要求总数</w:t>
      </w:r>
    </w:p>
    <w:p>
      <w:pPr>
        <w:pStyle w:val="Heading1"/>
      </w:pPr>
      <w:r>
        <w:t>二 适用性矩阵</w:t>
      </w:r>
    </w:p>
    <w:p>
      <w:r>
        <w:t>同一条款是否适用取决于市场、车辆类别、储能系统结构和试验层级。</w:t>
      </w:r>
    </w:p>
    <w:p>
      <w:pPr>
        <w:pStyle w:val="Heading2"/>
      </w:pPr>
      <w:r>
        <w:t>2 1 市场与产品边界</w:t>
      </w:r>
    </w:p>
    <w:p>
      <w:r>
        <w:t>适用性分析至少包含销售地区、车型类别、动力系统、电压等级、化学体系、可更换性和是否包含双向充放电。</w:t>
      </w:r>
    </w:p>
    <w:p>
      <w:r>
        <w:t>电芯、模组、Pack和整车的要求不能混淆。某些安全性能必须在系统或整车边界下验证，单体报告只能作为支持证据。</w:t>
      </w:r>
    </w:p>
    <w:p>
      <w:pPr>
        <w:pStyle w:val="Heading2"/>
      </w:pPr>
      <w:r>
        <w:t>2 2 条款到用例</w:t>
      </w:r>
    </w:p>
    <w:p>
      <w:r>
        <w:t>每条适用要求应映射到设计特征、试验用例、样件配置、判定准则和责任人。豁免或不适用必须给出条款依据并经过批准。</w:t>
      </w:r>
    </w:p>
    <w:p>
      <w:r>
        <w:t>要求文字应转化为可执行参数，但不能擅自改写接受准则。遇到歧义时应由法规和技术责任人形成受控解释。</w:t>
      </w:r>
    </w:p>
    <w:p>
      <w:pPr>
        <w:jc w:val="center"/>
      </w:pPr>
      <m:oMathPara>
        <m:oMath>
          <m:r>
            <m:t>N_app = Σ A_i</m:t>
          </m:r>
        </m:oMath>
      </m:oMathPara>
    </w:p>
    <w:p>
      <w:pPr>
        <w:pStyle w:val="Caption"/>
        <w:jc w:val="center"/>
      </w:pPr>
      <w:r>
        <w:t>式 2  A_i为第i条要求的适用性指示量，适用取1，不适用取0；N_app为适用要求数量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适用维度</w:t>
            </w:r>
          </w:p>
        </w:tc>
        <w:tc>
          <w:tcPr>
            <w:tcW w:type="dxa" w:w="2592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需要确认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证据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常见遗漏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市场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国家 地区和缔约方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销售与认证计划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把全球视为同一版本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对象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电芯 模组 Pack或整车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BOM与架构图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层级错配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版本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发布日期 实施日 修订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受控标准清单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继续引用废止版本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配置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软硬件与选装差异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配置基线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样件不代表量产</w:t>
            </w:r>
          </w:p>
        </w:tc>
      </w:tr>
    </w:tbl>
    <w:p>
      <w:pPr>
        <w:spacing w:after="40"/>
      </w:pPr>
    </w:p>
    <w:p>
      <w:pPr>
        <w:pStyle w:val="Heading1"/>
      </w:pPr>
      <w:r>
        <w:t>三 版本与生效日期控制</w:t>
      </w:r>
    </w:p>
    <w:p>
      <w:r>
        <w:t>标准编号相同也可能存在新版本、修订或过渡期。</w:t>
      </w:r>
    </w:p>
    <w:p>
      <w:pPr>
        <w:pStyle w:val="Heading2"/>
      </w:pPr>
      <w:r>
        <w:t>3 1 GB 38031版本状态</w:t>
      </w:r>
    </w:p>
    <w:p>
      <w:r>
        <w:t>国家标准公开平台列明GB 38031-2025于2025年3月28日发布，2026年7月1日实施，状态为现行，并全部替代GB 38031-2020。</w:t>
      </w:r>
    </w:p>
    <w:p>
      <w:r>
        <w:t>项目不能只在文件名中写GB 38031。试验计划、报告和证书资料应写明完整年份版本，并核对实施日与产品时间节点。</w:t>
      </w:r>
    </w:p>
    <w:p>
      <w:pPr>
        <w:pStyle w:val="Heading2"/>
      </w:pPr>
      <w:r>
        <w:t>3 2 国际文件修订</w:t>
      </w:r>
    </w:p>
    <w:p>
      <w:r>
        <w:t>UNECE法规存在系列修正和增补，ISO与IEC标准也会定期复审。下载网页摘要只能用于识别，正式试验必须使用授权或官方受控文本。</w:t>
      </w:r>
    </w:p>
    <w:p>
      <w:r>
        <w:t>合规清单应记录当前版本、上次检查日期、变化摘要和受影响产品。定期监控不能依赖个人记忆。</w:t>
      </w:r>
    </w:p>
    <w:p>
      <w:pPr>
        <w:jc w:val="center"/>
      </w:pPr>
      <m:oMathPara>
        <m:oMath>
          <m:r>
            <m:t>Δt = t_SOP − t_effective</m:t>
          </m:r>
        </m:oMath>
      </m:oMathPara>
    </w:p>
    <w:p>
      <w:pPr>
        <w:pStyle w:val="Caption"/>
        <w:jc w:val="center"/>
      </w:pPr>
      <w:r>
        <w:t>式 3  Δt为产品量产时间与要求实施日期的间隔，单位天；负值表示产品早于实施日，仍需检查过渡规定</w:t>
      </w:r>
    </w:p>
    <w:p>
      <w:pPr>
        <w:pStyle w:val="Heading1"/>
      </w:pPr>
      <w:r>
        <w:t>四 测试证据与代表样件</w:t>
      </w:r>
    </w:p>
    <w:p>
      <w:r>
        <w:t>测试报告必须能够证明样件、程序和量产产品之间的关系。</w:t>
      </w:r>
    </w:p>
    <w:p>
      <w:pPr>
        <w:pStyle w:val="Heading2"/>
      </w:pPr>
      <w:r>
        <w:t>4 1 样件代表性</w:t>
      </w:r>
    </w:p>
    <w:p>
      <w:r>
        <w:t>代表样件要覆盖影响结果的材料、结构、软件、热管理和保护策略。使用工程样件时，应说明与量产基线的差异及其方向。</w:t>
      </w:r>
    </w:p>
    <w:p>
      <w:r>
        <w:t>最坏配置不能只按容量或能量最大选择。不同试验的最坏条件可能分别由SOC、单体数量、冷却路径、质量或结构位置决定。</w:t>
      </w:r>
    </w:p>
    <w:p>
      <w:pPr>
        <w:pStyle w:val="Heading2"/>
      </w:pPr>
      <w:r>
        <w:t>4 2 原始数据与报告</w:t>
      </w:r>
    </w:p>
    <w:p>
      <w:r>
        <w:t>证据链应包含试验申请、样件身份、校准状态、程序版本、原始数据、偏差记录、计算脚本、照片视频和批准报告。</w:t>
      </w:r>
    </w:p>
    <w:p>
      <w:r>
        <w:t>报告结论应明确通过、失败或有条件通过。任何偏差都需评估是否影响条款符合性，不能只在附录中记录而不处置。</w:t>
      </w:r>
    </w:p>
    <w:p>
      <w:pPr>
        <w:jc w:val="center"/>
      </w:pPr>
      <m:oMathPara>
        <m:oMath>
          <m:r>
            <m:t>Coverage = N_linked / N_app × 100%</m:t>
          </m:r>
        </m:oMath>
      </m:oMathPara>
    </w:p>
    <w:p>
      <w:pPr>
        <w:pStyle w:val="Caption"/>
        <w:jc w:val="center"/>
      </w:pPr>
      <w:r>
        <w:t>式 4  Coverage为要求追溯覆盖率；N_linked为已连接到有效证据的适用要求数；N_app为适用要求总数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证据对象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最低内容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审核问题</w:t>
            </w:r>
          </w:p>
        </w:tc>
        <w:tc>
          <w:tcPr>
            <w:tcW w:type="dxa" w:w="2448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失效风险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样件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序列号 BOM 软件和状态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是否代表量产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错配配置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程序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版本 条件 判定与偏差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是否对应条款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方法漂移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原始数据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同步信号 元数据 校准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能否复算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选择性报告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报告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结果 结论 批准与限制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是否完整追溯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证据断链</w:t>
            </w:r>
          </w:p>
        </w:tc>
      </w:tr>
    </w:tbl>
    <w:p>
      <w:pPr>
        <w:spacing w:after="40"/>
      </w:pPr>
    </w:p>
    <w:p>
      <w:pPr>
        <w:pStyle w:val="Heading1"/>
      </w:pPr>
      <w:r>
        <w:t>五 测量不确定度与判定裕量</w:t>
      </w:r>
    </w:p>
    <w:p>
      <w:r>
        <w:t>接近限值的结果需要把测量不确定度和判定规则一起考虑。</w:t>
      </w:r>
    </w:p>
    <w:p>
      <w:pPr>
        <w:pStyle w:val="Heading2"/>
      </w:pPr>
      <w:r>
        <w:t>5 1 不确定度预算</w:t>
      </w:r>
    </w:p>
    <w:p>
      <w:r>
        <w:t>电压、电流、温度、力、位移和时间等输入的不确定度会传播到最终指标。实验室应使用校准证书、重复性和环境影响建立预算。</w:t>
      </w:r>
    </w:p>
    <w:p>
      <w:r>
        <w:t>标准若规定判定规则，应按其执行；若未规定，项目应预先批准保护带或复测规则，不能看到结果后再选择口径。</w:t>
      </w:r>
    </w:p>
    <w:p>
      <w:pPr>
        <w:pStyle w:val="Heading2"/>
      </w:pPr>
      <w:r>
        <w:t>5 2 边界结果</w:t>
      </w:r>
    </w:p>
    <w:p>
      <w:r>
        <w:t>结果刚好落在限值一侧时，是否通过取决于适用判定规则。工程设计还应留出制造、老化和环境变化的裕量。</w:t>
      </w:r>
    </w:p>
    <w:p>
      <w:r>
        <w:t>合规通过只证明样件在规定条件下满足最低要求，不等于设计在所有真实工况下具有充分可靠性。</w:t>
      </w:r>
    </w:p>
    <w:p>
      <w:pPr>
        <w:jc w:val="center"/>
      </w:pPr>
      <m:oMathPara>
        <m:oMath>
          <m:r>
            <m:t>M_guard = L_limit − y_meas − k u_c</m:t>
          </m:r>
        </m:oMath>
      </m:oMathPara>
    </w:p>
    <w:p>
      <w:pPr>
        <w:pStyle w:val="Caption"/>
        <w:jc w:val="center"/>
      </w:pPr>
      <w:r>
        <w:t>式 5  M_guard为判定裕量；L_limit与y_meas单位相同；u_c为合成标准不确定度；k为覆盖因子</w:t>
      </w:r>
    </w:p>
    <w:p>
      <w:pPr>
        <w:pStyle w:val="Heading1"/>
      </w:pPr>
      <w:r>
        <w:t>六 变更控制与持续合规</w:t>
      </w:r>
    </w:p>
    <w:p>
      <w:r>
        <w:t>材料、结构、软件和供应商变化都可能使既有证据失效。</w:t>
      </w:r>
    </w:p>
    <w:p>
      <w:pPr>
        <w:pStyle w:val="Heading2"/>
      </w:pPr>
      <w:r>
        <w:t>6 1 变更影响分析</w:t>
      </w:r>
    </w:p>
    <w:p>
      <w:r>
        <w:t>变更评审要从受影响要求出发，判断原理、边界和最坏配置是否改变。不是所有变更都要全套重测，也不是外观不变就可以免测。</w:t>
      </w:r>
    </w:p>
    <w:p>
      <w:r>
        <w:t>供应商材料配方、极片参数、泄压结构、冷却接口和BMS保护标定都可能改变安全或性能结果。变更前后证据应可追溯。</w:t>
      </w:r>
    </w:p>
    <w:p>
      <w:pPr>
        <w:pStyle w:val="Heading2"/>
      </w:pPr>
      <w:r>
        <w:t>6 2 生产一致性与现场反馈</w:t>
      </w:r>
    </w:p>
    <w:p>
      <w:r>
        <w:t>量产检验和过程能力用于证明持续生产与认证样件一致。现场失效、召回或重大软件更新应触发合规影响复审。</w:t>
      </w:r>
    </w:p>
    <w:p>
      <w:r>
        <w:t>证书、报告和标准版本需要到期提醒。合规状态应在配置管理系统中维护，而不是散落在邮件或个人文件夹。</w:t>
      </w:r>
    </w:p>
    <w:p>
      <w:pPr>
        <w:jc w:val="center"/>
      </w:pPr>
      <m:oMathPara>
        <m:oMath>
          <m:r>
            <m:t>RPN = S × O × D</m:t>
          </m:r>
        </m:oMath>
      </m:oMathPara>
    </w:p>
    <w:p>
      <w:pPr>
        <w:pStyle w:val="Caption"/>
        <w:jc w:val="center"/>
      </w:pPr>
      <w:r>
        <w:t>式 6  RPN为无量纲风险优先数；S为严重度，O为发生度，D为探测难度；评分尺度必须在组织内统一</w:t>
      </w:r>
    </w:p>
    <w:p>
      <w:pPr>
        <w:pStyle w:val="Heading1"/>
      </w:pPr>
      <w:r>
        <w:t>工程检查表</w:t>
      </w:r>
    </w:p>
    <w:p>
      <w:r>
        <w:t>建立项目合规基线时，按以下步骤形成可审核记录。</w:t>
      </w:r>
    </w:p>
    <w:p>
      <w:pPr>
        <w:numPr>
          <w:ilvl w:val="0"/>
          <w:numId w:val="19"/>
        </w:numPr>
        <w:ind w:left="432" w:hanging="288"/>
      </w:pPr>
      <w:r>
        <w:t>按市场 产品层级和配置确认适用法规与标准</w:t>
      </w:r>
    </w:p>
    <w:p>
      <w:pPr>
        <w:numPr>
          <w:ilvl w:val="0"/>
          <w:numId w:val="19"/>
        </w:numPr>
        <w:ind w:left="432" w:hanging="288"/>
      </w:pPr>
      <w:r>
        <w:t>记录完整编号 年份 生效日期 修订和替代关系</w:t>
      </w:r>
    </w:p>
    <w:p>
      <w:pPr>
        <w:numPr>
          <w:ilvl w:val="0"/>
          <w:numId w:val="19"/>
        </w:numPr>
        <w:ind w:left="432" w:hanging="288"/>
      </w:pPr>
      <w:r>
        <w:t>将每条要求映射到样件 程序 判定和责任人</w:t>
      </w:r>
    </w:p>
    <w:p>
      <w:pPr>
        <w:numPr>
          <w:ilvl w:val="0"/>
          <w:numId w:val="19"/>
        </w:numPr>
        <w:ind w:left="432" w:hanging="288"/>
      </w:pPr>
      <w:r>
        <w:t>核对校准 不确定度 偏差和原始数据追溯</w:t>
      </w:r>
    </w:p>
    <w:p>
      <w:pPr>
        <w:numPr>
          <w:ilvl w:val="0"/>
          <w:numId w:val="19"/>
        </w:numPr>
        <w:ind w:left="432" w:hanging="288"/>
      </w:pPr>
      <w:r>
        <w:t>为材料 软件和供应商变更设置重新评估触发</w:t>
      </w:r>
    </w:p>
    <w:p>
      <w:pPr>
        <w:pStyle w:val="Heading1"/>
      </w:pPr>
      <w:r>
        <w:t>案例推演</w:t>
      </w:r>
    </w:p>
    <w:p>
      <w:r>
        <w:t>场景 项目沿用GB 38031-2020报告准备2026年下半年新车型资料</w:t>
      </w:r>
    </w:p>
    <w:p>
      <w:r>
        <w:t>国家标准公开平台显示GB 38031-2025已于2026年7月1日实施并替代2020版，旧报告不能在未评估差异时直接作为完整证据。</w:t>
      </w:r>
    </w:p>
    <w:p>
      <w:pPr>
        <w:numPr>
          <w:ilvl w:val="0"/>
          <w:numId w:val="20"/>
        </w:numPr>
        <w:ind w:left="432" w:hanging="288"/>
      </w:pPr>
      <w:r>
        <w:t>确认车型申报时间 市场和过渡规定</w:t>
      </w:r>
    </w:p>
    <w:p>
      <w:pPr>
        <w:numPr>
          <w:ilvl w:val="0"/>
          <w:numId w:val="20"/>
        </w:numPr>
        <w:ind w:left="432" w:hanging="288"/>
      </w:pPr>
      <w:r>
        <w:t>获取受控的GB 38031-2025正式文本并建立差异清单</w:t>
      </w:r>
    </w:p>
    <w:p>
      <w:pPr>
        <w:numPr>
          <w:ilvl w:val="0"/>
          <w:numId w:val="20"/>
        </w:numPr>
        <w:ind w:left="432" w:hanging="288"/>
      </w:pPr>
      <w:r>
        <w:t>把新增或变化要求映射到现有设计与测试证据</w:t>
      </w:r>
    </w:p>
    <w:p>
      <w:pPr>
        <w:numPr>
          <w:ilvl w:val="0"/>
          <w:numId w:val="20"/>
        </w:numPr>
        <w:ind w:left="432" w:hanging="288"/>
      </w:pPr>
      <w:r>
        <w:t>确定需要补测 分析或文件更新的样件与计划</w:t>
      </w:r>
    </w:p>
    <w:p>
      <w:pPr>
        <w:numPr>
          <w:ilvl w:val="0"/>
          <w:numId w:val="20"/>
        </w:numPr>
        <w:ind w:left="432" w:hanging="288"/>
      </w:pPr>
      <w:r>
        <w:t>更新合规矩阵 报告引用 配置基线和批准记录</w:t>
      </w:r>
    </w:p>
    <w:p>
      <w:r>
        <w:t>正确做法是依据实施日和差异完成证据迁移，而不是只把报告封面的年份改成新版本。</w:t>
      </w:r>
    </w:p>
    <w:p>
      <w:pPr>
        <w:pStyle w:val="Heading1"/>
      </w:pPr>
      <w:r>
        <w:t>常见误区</w:t>
      </w:r>
    </w:p>
    <w:p>
      <w:r>
        <w:t>以下判断忽略了对象、工况或证据边界。复盘时应说明假设并给出验证方法。</w:t>
      </w:r>
    </w:p>
    <w:p>
      <w:pPr>
        <w:pStyle w:val="Heading2"/>
      </w:pPr>
      <w:r>
        <w:t>误区 1 通过国际标准就自动满足所有市场法规</w:t>
      </w:r>
    </w:p>
    <w:p>
      <w:r>
        <w:t>标准采用方式和法规体系因市场而异，必须建立市场适用性矩阵。</w:t>
      </w:r>
    </w:p>
    <w:p>
      <w:pPr>
        <w:pStyle w:val="Heading2"/>
      </w:pPr>
      <w:r>
        <w:t>误区 2 标准编号相同就无需检查年份</w:t>
      </w:r>
    </w:p>
    <w:p>
      <w:r>
        <w:t>不同年份可能改变试验对象、条件或判定，完整版本必须受控。</w:t>
      </w:r>
    </w:p>
    <w:p>
      <w:pPr>
        <w:pStyle w:val="Heading2"/>
      </w:pPr>
      <w:r>
        <w:t>误区 3 实验室报告等于产品证书</w:t>
      </w:r>
    </w:p>
    <w:p>
      <w:r>
        <w:t>报告只是技术证据，型式批准和生产一致性还有独立流程。</w:t>
      </w:r>
    </w:p>
    <w:p>
      <w:pPr>
        <w:pStyle w:val="Heading2"/>
      </w:pPr>
      <w:r>
        <w:t>误区 4 最坏样件永远是容量最大的Pack</w:t>
      </w:r>
    </w:p>
    <w:p>
      <w:r>
        <w:t>机械、热、电和传播试验的最坏配置可能不同，需要逐项分析。</w:t>
      </w:r>
    </w:p>
    <w:p>
      <w:pPr>
        <w:pStyle w:val="Heading2"/>
      </w:pPr>
      <w:r>
        <w:t>误区 5 法规测试通过后产品变更不影响合规</w:t>
      </w:r>
    </w:p>
    <w:p>
      <w:r>
        <w:t>材料、结构、软件或供应商变化可能使代表性和结果失效，必须进行变更评估。</w:t>
      </w:r>
    </w:p>
    <w:p>
      <w:pPr>
        <w:pStyle w:val="Heading1"/>
      </w:pPr>
      <w:r>
        <w:t>本期要点总结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法规 标准和企业规范的效力与对象不同。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适用性矩阵要绑定市场 产品层级 配置和时间节点。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截至2026年10月5日 GB 38031-2025已实施并替代2020版。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合规证据必须连接要求 样件 程序 原始数据和批准记录。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不确定度 变更控制和生产一致性决定合规能否持续。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21"/>
        </w:numPr>
        <w:ind w:left="432" w:hanging="288"/>
      </w:pPr>
      <w:r>
        <w:t>ISO或IEC标准为什么不能自动替代法规</w:t>
      </w:r>
    </w:p>
    <w:p>
      <w:pPr>
        <w:numPr>
          <w:ilvl w:val="0"/>
          <w:numId w:val="21"/>
        </w:numPr>
        <w:ind w:left="432" w:hanging="288"/>
      </w:pPr>
      <w:r>
        <w:t>GB 38031-2025的公开状态和实施日期是什么</w:t>
      </w:r>
    </w:p>
    <w:p>
      <w:pPr>
        <w:numPr>
          <w:ilvl w:val="0"/>
          <w:numId w:val="21"/>
        </w:numPr>
        <w:ind w:left="432" w:hanging="288"/>
      </w:pPr>
      <w:r>
        <w:t>适用性矩阵中的不适用结论需要什么</w:t>
      </w:r>
    </w:p>
    <w:p>
      <w:pPr>
        <w:numPr>
          <w:ilvl w:val="0"/>
          <w:numId w:val="21"/>
        </w:numPr>
        <w:ind w:left="432" w:hanging="288"/>
      </w:pPr>
      <w:r>
        <w:t>为什么接近限值的结果要考虑不确定度</w:t>
      </w:r>
    </w:p>
    <w:p>
      <w:pPr>
        <w:numPr>
          <w:ilvl w:val="0"/>
          <w:numId w:val="21"/>
        </w:numPr>
        <w:ind w:left="432" w:hanging="288"/>
      </w:pPr>
      <w:r>
        <w:t>哪些变更可能触发重新验证</w:t>
      </w:r>
    </w:p>
    <w:p>
      <w:pPr>
        <w:pStyle w:val="Heading2"/>
      </w:pPr>
      <w:r>
        <w:t>答案 1</w:t>
      </w:r>
    </w:p>
    <w:p>
      <w:r>
        <w:t>它们通常提供技术方法，是否强制取决于目标市场法规、认证方案或合同引用。</w:t>
      </w:r>
    </w:p>
    <w:p>
      <w:pPr>
        <w:pStyle w:val="Heading2"/>
      </w:pPr>
      <w:r>
        <w:t>答案 2</w:t>
      </w:r>
    </w:p>
    <w:p>
      <w:r>
        <w:t>国家标准公开平台显示其为现行强制性国家标准，自2026年7月1日起实施，并替代GB 38031-2020。</w:t>
      </w:r>
    </w:p>
    <w:p>
      <w:pPr>
        <w:pStyle w:val="Heading2"/>
      </w:pPr>
      <w:r>
        <w:t>答案 3</w:t>
      </w:r>
    </w:p>
    <w:p>
      <w:r>
        <w:t>需要具体条款、产品边界和批准依据，不能只写不适用。</w:t>
      </w:r>
    </w:p>
    <w:p>
      <w:pPr>
        <w:pStyle w:val="Heading2"/>
      </w:pPr>
      <w:r>
        <w:t>答案 4</w:t>
      </w:r>
    </w:p>
    <w:p>
      <w:r>
        <w:t>测量误差可能改变是否越过限值的判断，判定规则和保护带必须预先确定。</w:t>
      </w:r>
    </w:p>
    <w:p>
      <w:pPr>
        <w:pStyle w:val="Heading2"/>
      </w:pPr>
      <w:r>
        <w:t>答案 5</w:t>
      </w:r>
    </w:p>
    <w:p>
      <w:r>
        <w:t>影响材料、结构、热路径、电连接、保护策略、软件或最坏配置的变更都应评估，必要时补测或重新认证。</w:t>
      </w:r>
    </w:p>
    <w:p>
      <w:pPr>
        <w:pStyle w:val="Heading1"/>
      </w:pPr>
      <w:r>
        <w:t>下一期预告</w:t>
      </w:r>
    </w:p>
    <w:p>
      <w:r>
        <w:t>第36期将讲解失效分析方法与证据链，从现场保护、无损检查、拆解到根因验证建立闭环。</w:t>
      </w:r>
    </w:p>
    <w:p>
      <w:pPr>
        <w:pStyle w:val="Heading1"/>
      </w:pPr>
      <w:r>
        <w:t>参考资料</w:t>
      </w:r>
    </w:p>
    <w:p>
      <w:r>
        <w:t>以下资料用于建立本期工程框架。所有网页的访问日期均为 2026年10月5日。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国家标准公开平台 GB 38031-2025。访问日期：2026年10月5日。</w:t>
      </w:r>
      <w:hyperlink r:id="rId15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UNECE UN Regulation No. 100文件入口。访问日期：2026年10月5日。</w:t>
      </w:r>
      <w:hyperlink r:id="rId16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ISO 12405-4 2018 动力电池包与系统性能测试。访问日期：2026年10月5日。</w:t>
      </w:r>
      <w:hyperlink r:id="rId17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IEC 62660-2 2018 动力锂离子电芯可靠性与滥用测试。访问日期：2026年10月5日。</w:t>
      </w:r>
      <w:hyperlink r:id="rId18">
        <w:r>
          <w:rPr>
            <w:color w:val="17365D"/>
            <w:u w:val="single"/>
          </w:rPr>
          <w:t>原文链接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000000"/>
        <w:sz w:val="18"/>
      </w:rPr>
      <w:t xml:space="preserve">2026-10-05  |  </w:t>
    </w:r>
    <w:r>
      <w:rPr>
        <w:rFonts w:ascii="Microsoft YaHei" w:hAnsi="Microsoft YaHei" w:eastAsia="Microsoft YaHei" w:cs="Microsoft YaHei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000000"/>
        <w:sz w:val="18"/>
      </w:rPr>
      <w:t>动力电池深度学习计划 第 35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openstd.samr.gov.cn/bzgk/std/newGbInfo?hcno=3AB693FAFF5D9716DF61C61D6FD2187A" TargetMode="External"/><Relationship Id="rId16" Type="http://schemas.openxmlformats.org/officeDocument/2006/relationships/hyperlink" Target="https://unece.org/transport/vehicle-regulations-wp29/standards/addenda-1958-agreement-regulations-81-100" TargetMode="External"/><Relationship Id="rId17" Type="http://schemas.openxmlformats.org/officeDocument/2006/relationships/hyperlink" Target="https://www.iso.org/standard/71407.html" TargetMode="External"/><Relationship Id="rId18" Type="http://schemas.openxmlformats.org/officeDocument/2006/relationships/hyperlink" Target="https://webstore.iec.ch/en/publication/643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标准法规与合规验证</dc:title>
  <dc:subject>适用性矩阵 版本控制与证据闭环</dc:subject>
  <dc:creator>Codex 动力电池深度学习计划</dc:creator>
  <cp:keywords>动力电池 GB 38031 UN R100 ISO 12405 IEC 62660 合规 追溯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