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555555"/>
          <w:sz w:val="20"/>
          <w:szCs w:val="20"/>
        </w:rPr>
        <w:t xml:space="preserve">ETC5543 — Weekly Group Progress Report</w:t>
      </w:r>
    </w:p>
    <w:p>
      <w:pPr>
        <w:spacing w:after="40"/>
      </w:pPr>
      <w:r>
        <w:rPr>
          <w:b/>
          <w:bCs/>
          <w:color w:val="1F2937"/>
          <w:sz w:val="32"/>
          <w:szCs w:val="32"/>
        </w:rPr>
        <w:t xml:space="preserve">Melbourne Noise &amp; Urban Environment Project</w:t>
      </w:r>
    </w:p>
    <w:p>
      <w:pPr>
        <w:spacing w:after="60"/>
      </w:pPr>
      <w:r>
        <w:rPr>
          <w:color w:val="555555"/>
          <w:sz w:val="21"/>
          <w:szCs w:val="21"/>
        </w:rPr>
        <w:t xml:space="preserve">Stage: descriptive EDA &amp; data-integration feasibility</w:t>
      </w:r>
    </w:p>
    <w:p>
      <w:pPr>
        <w:spacing w:after="200"/>
      </w:pPr>
      <w:r>
        <w:rPr>
          <w:color w:val="555555"/>
          <w:sz w:val="21"/>
          <w:szCs w:val="21"/>
        </w:rPr>
        <w:t xml:space="preserve">Members: Cindy (noise), Sandhya (nightlife/urban activity), Chen (spatial integration)</w:t>
      </w:r>
    </w:p>
    <w:p>
      <w:pPr>
        <w:pBdr>
          <w:bottom w:val="single" w:color="D0D7DE" w:sz="6"/>
        </w:pBdr>
        <w:spacing w:after="120" w:before="80"/>
      </w:pPr>
    </w:p>
    <w:p>
      <w:pPr>
        <w:pStyle w:val="Heading1"/>
        <w:spacing w:after="110" w:before="260"/>
      </w:pPr>
      <w:r>
        <w:rPr>
          <w:b/>
          <w:bCs/>
          <w:color w:val="2166AC"/>
          <w:sz w:val="27"/>
          <w:szCs w:val="27"/>
        </w:rPr>
        <w:t xml:space="preserve">1. Project focus</w:t>
      </w:r>
    </w:p>
    <w:p>
      <w:pPr>
        <w:spacing w:after="110" w:line="274"/>
      </w:pPr>
      <w:r>
        <w:rPr>
          <w:sz w:val="22"/>
          <w:szCs w:val="22"/>
        </w:rPr>
        <w:t xml:space="preserve">Our central questions are where and when Melbourne is noisy, and what urban activities or characteristics may be associated with noisier areas. This week the group focused on descriptive EDA and on testing whether the available datasets can actually be linked, rather than on modelling.</w:t>
      </w:r>
    </w:p>
    <w:p>
      <w:pPr>
        <w:spacing w:after="110" w:line="274"/>
      </w:pPr>
      <w:r>
        <w:rPr>
          <w:sz w:val="22"/>
          <w:szCs w:val="22"/>
        </w:rPr>
        <w:t xml:space="preserve">Work is split into three parts: preparing the noise outcomes (Cindy), preparing the nightlife/urban-activity features (Sandhya), and integrating everything spatially around the noise sensors (Chen).</w:t>
      </w:r>
    </w:p>
    <w:p>
      <w:pPr>
        <w:pStyle w:val="Heading1"/>
        <w:spacing w:after="110" w:before="260"/>
      </w:pPr>
      <w:r>
        <w:rPr>
          <w:b/>
          <w:bCs/>
          <w:color w:val="2166AC"/>
          <w:sz w:val="27"/>
          <w:szCs w:val="27"/>
        </w:rPr>
        <w:t xml:space="preserve">2. Progress by member</w:t>
      </w:r>
    </w:p>
    <w:p>
      <w:pPr>
        <w:pStyle w:val="Heading2"/>
        <w:spacing w:after="80" w:before="180"/>
      </w:pPr>
      <w:r>
        <w:rPr>
          <w:b/>
          <w:bCs/>
          <w:color w:val="1F2937"/>
          <w:sz w:val="23"/>
          <w:szCs w:val="23"/>
        </w:rPr>
        <w:t xml:space="preserve">Cindy — Noise outcomes</w:t>
      </w:r>
      <w:r>
        <w:rPr>
          <w:i/>
          <w:iCs/>
          <w:color w:val="555555"/>
          <w:sz w:val="19"/>
          <w:szCs w:val="19"/>
        </w:rPr>
        <w:t xml:space="preserve">   (Part 1)</w:t>
      </w:r>
    </w:p>
    <w:p>
      <w:pPr>
        <w:spacing w:after="110" w:line="274"/>
      </w:pPr>
      <w:r>
        <w:rPr>
          <w:sz w:val="22"/>
          <w:szCs w:val="22"/>
        </w:rPr>
        <w:t xml:space="preserve">Completed:</w:t>
      </w:r>
    </w:p>
    <w:p>
      <w:pPr>
        <w:pStyle w:val="ListParagraph"/>
        <w:numPr>
          <w:ilvl w:val="0"/>
          <w:numId w:val="2"/>
        </w:numPr>
        <w:spacing w:after="66" w:line="268"/>
      </w:pPr>
      <w:r>
        <w:rPr>
          <w:sz w:val="22"/>
          <w:szCs w:val="22"/>
        </w:rPr>
        <w:t xml:space="preserve">Cleaned the raw IoT / microclimate sensor file: parsed timestamps to Melbourne local time and derived each sensor's latitude/longitude.</w:t>
      </w:r>
    </w:p>
    <w:p>
      <w:pPr>
        <w:pStyle w:val="ListParagraph"/>
        <w:numPr>
          <w:ilvl w:val="0"/>
          <w:numId w:val="2"/>
        </w:numPr>
        <w:spacing w:after="66" w:line="268"/>
      </w:pPr>
      <w:r>
        <w:rPr>
          <w:sz w:val="22"/>
          <w:szCs w:val="22"/>
        </w:rPr>
        <w:t xml:space="preserve">Built a per-sensor coverage summary (first/last observation, coverage span, valid-observation counts, and mean/median/SD/min/max noise) and checked the sampling frequency of each sensor.</w:t>
      </w:r>
    </w:p>
    <w:p>
      <w:pPr>
        <w:pStyle w:val="ListParagraph"/>
        <w:numPr>
          <w:ilvl w:val="0"/>
          <w:numId w:val="2"/>
        </w:numPr>
        <w:spacing w:after="66" w:line="268"/>
      </w:pPr>
      <w:r>
        <w:rPr>
          <w:sz w:val="22"/>
          <w:szCs w:val="22"/>
        </w:rPr>
        <w:t xml:space="preserve">Derived temporal variables (hour, weekday, weekend, month) and produced daily, hourly, weekday and weekend noise summaries.</w:t>
      </w:r>
    </w:p>
    <w:p>
      <w:pPr>
        <w:pStyle w:val="ListParagraph"/>
        <w:numPr>
          <w:ilvl w:val="0"/>
          <w:numId w:val="2"/>
        </w:numPr>
        <w:spacing w:after="66" w:line="268"/>
      </w:pPr>
      <w:r>
        <w:rPr>
          <w:sz w:val="22"/>
          <w:szCs w:val="22"/>
        </w:rPr>
        <w:t xml:space="preserve">Ran robustness checks on the changing sensor composition over time, comparing the pooled series against an equal-weight balanced-sensor series.</w:t>
      </w:r>
    </w:p>
    <w:p>
      <w:pPr>
        <w:pStyle w:val="ListParagraph"/>
        <w:numPr>
          <w:ilvl w:val="0"/>
          <w:numId w:val="2"/>
        </w:numPr>
        <w:spacing w:after="66" w:line="268"/>
      </w:pPr>
      <w:r>
        <w:rPr>
          <w:sz w:val="22"/>
          <w:szCs w:val="22"/>
        </w:rPr>
        <w:t xml:space="preserve">Produced descriptive figures: noise over time, by hour of day, by day of week, by sensor, a sensor-location map, and active sensors over time.</w:t>
      </w:r>
    </w:p>
    <w:p>
      <w:pPr>
        <w:spacing w:after="110" w:line="274"/>
      </w:pPr>
      <w:r>
        <w:rPr>
          <w:b/>
          <w:bCs/>
          <w:sz w:val="22"/>
          <w:szCs w:val="22"/>
        </w:rPr>
        <w:t xml:space="preserve">Data-quality flags: </w:t>
      </w:r>
      <w:r>
        <w:rPr>
          <w:sz w:val="22"/>
          <w:szCs w:val="22"/>
        </w:rPr>
        <w:t xml:space="preserve">the unit/interpretation of the Noise variable is still undocumented; sensor composition changes over the period, and one sensor has no valid noise data at all.</w:t>
      </w:r>
    </w:p>
    <w:p>
      <w:pPr>
        <w:spacing w:after="110" w:line="274"/>
      </w:pPr>
      <w:r>
        <w:rPr>
          <w:b/>
          <w:bCs/>
          <w:sz w:val="22"/>
          <w:szCs w:val="22"/>
        </w:rPr>
        <w:t xml:space="preserve">Main output: </w:t>
      </w:r>
      <w:r>
        <w:rPr>
          <w:sz w:val="22"/>
          <w:szCs w:val="22"/>
        </w:rPr>
        <w:t xml:space="preserve">a clean sensor-level noise dataset (sensor_coverage_summary.csv) ready for spatial linkage — this is the primary input to Part 3.</w:t>
      </w:r>
    </w:p>
    <w:p>
      <w:pPr>
        <w:pStyle w:val="Heading2"/>
        <w:spacing w:after="80" w:before="180"/>
      </w:pPr>
      <w:r>
        <w:rPr>
          <w:b/>
          <w:bCs/>
          <w:color w:val="1F2937"/>
          <w:sz w:val="23"/>
          <w:szCs w:val="23"/>
        </w:rPr>
        <w:t xml:space="preserve">Sandhya — Nightlife / urban-activity features</w:t>
      </w:r>
      <w:r>
        <w:rPr>
          <w:i/>
          <w:iCs/>
          <w:color w:val="555555"/>
          <w:sz w:val="19"/>
          <w:szCs w:val="19"/>
        </w:rPr>
        <w:t xml:space="preserve">   (Part 2)</w:t>
      </w:r>
    </w:p>
    <w:p>
      <w:pPr>
        <w:spacing w:after="110" w:line="274"/>
      </w:pPr>
      <w:r>
        <w:rPr>
          <w:sz w:val="22"/>
          <w:szCs w:val="22"/>
        </w:rPr>
        <w:t xml:space="preserve">Completed:</w:t>
      </w:r>
    </w:p>
    <w:p>
      <w:pPr>
        <w:pStyle w:val="ListParagraph"/>
        <w:numPr>
          <w:ilvl w:val="0"/>
          <w:numId w:val="2"/>
        </w:numPr>
        <w:spacing w:after="66" w:line="268"/>
      </w:pPr>
      <w:r>
        <w:rPr>
          <w:sz w:val="22"/>
          <w:szCs w:val="22"/>
        </w:rPr>
        <w:t xml:space="preserve">Explored and cleaned the bars/pubs and cafés/restaurants datasets, keeping records with valid coordinates and block IDs, producing tidy point-level tables (year, block, venue, patron capacity / seats, lat/lon).</w:t>
      </w:r>
    </w:p>
    <w:p>
      <w:pPr>
        <w:pStyle w:val="ListParagraph"/>
        <w:numPr>
          <w:ilvl w:val="0"/>
          <w:numId w:val="2"/>
        </w:numPr>
        <w:spacing w:after="66" w:line="268"/>
      </w:pPr>
      <w:r>
        <w:rPr>
          <w:sz w:val="22"/>
          <w:szCs w:val="22"/>
        </w:rPr>
        <w:t xml:space="preserve">Built a 2024 block-level feature table: bar counts, total and median patron capacity, and café/restaurant seats split by indoor/outdoor seating type.</w:t>
      </w:r>
    </w:p>
    <w:p>
      <w:pPr>
        <w:pStyle w:val="ListParagraph"/>
        <w:numPr>
          <w:ilvl w:val="0"/>
          <w:numId w:val="2"/>
        </w:numPr>
        <w:spacing w:after="66" w:line="268"/>
      </w:pPr>
      <w:r>
        <w:rPr>
          <w:sz w:val="22"/>
          <w:szCs w:val="22"/>
        </w:rPr>
        <w:t xml:space="preserve">Produced descriptive figures: top areas by number of bars/pubs and by patron capacity, outdoor café seats by area, and the CBD patron-capacity trend over time.</w:t>
      </w:r>
    </w:p>
    <w:p>
      <w:pPr>
        <w:pStyle w:val="ListParagraph"/>
        <w:numPr>
          <w:ilvl w:val="0"/>
          <w:numId w:val="2"/>
        </w:numPr>
        <w:spacing w:after="66" w:line="268"/>
      </w:pPr>
      <w:r>
        <w:rPr>
          <w:sz w:val="22"/>
          <w:szCs w:val="22"/>
        </w:rPr>
        <w:t xml:space="preserve">Reviewed the business-establishments and floor-space datasets (by block, ANZSIC) and the pedestrian-counting sensor locations as candidate additional features.</w:t>
      </w:r>
    </w:p>
    <w:p>
      <w:pPr>
        <w:spacing w:after="110" w:line="274"/>
      </w:pPr>
      <w:r>
        <w:rPr>
          <w:b/>
          <w:bCs/>
          <w:sz w:val="22"/>
          <w:szCs w:val="22"/>
        </w:rPr>
        <w:t xml:space="preserve">Note for integration: </w:t>
      </w:r>
      <w:r>
        <w:rPr>
          <w:sz w:val="22"/>
          <w:szCs w:val="22"/>
        </w:rPr>
        <w:t xml:space="preserve">the block-level business/floor-space features carry a block ID but no coordinates, which affects how they can be linked (see Section 3).</w:t>
      </w:r>
    </w:p>
    <w:p>
      <w:pPr>
        <w:spacing w:after="110" w:line="274"/>
      </w:pPr>
      <w:r>
        <w:rPr>
          <w:b/>
          <w:bCs/>
          <w:sz w:val="22"/>
          <w:szCs w:val="22"/>
        </w:rPr>
        <w:t xml:space="preserve">Main output: </w:t>
      </w:r>
      <w:r>
        <w:rPr>
          <w:sz w:val="22"/>
          <w:szCs w:val="22"/>
        </w:rPr>
        <w:t xml:space="preserve">cleaned nightlife/business feature datasets (bars_clean.csv, cafes_clean.csv, block_nightlife_features_2024.csv, pedestrian_sensors_clean.csv) ready for buffer aggregation.</w:t>
      </w:r>
    </w:p>
    <w:p>
      <w:pPr>
        <w:pStyle w:val="Heading2"/>
        <w:spacing w:after="80" w:before="180"/>
      </w:pPr>
      <w:r>
        <w:rPr>
          <w:b/>
          <w:bCs/>
          <w:color w:val="1F2937"/>
          <w:sz w:val="23"/>
          <w:szCs w:val="23"/>
        </w:rPr>
        <w:t xml:space="preserve">Chen — Spatial integration</w:t>
      </w:r>
      <w:r>
        <w:rPr>
          <w:i/>
          <w:iCs/>
          <w:color w:val="555555"/>
          <w:sz w:val="19"/>
          <w:szCs w:val="19"/>
        </w:rPr>
        <w:t xml:space="preserve">   (Part 3)</w:t>
      </w:r>
    </w:p>
    <w:p>
      <w:pPr>
        <w:spacing w:after="110" w:line="274"/>
      </w:pPr>
      <w:r>
        <w:rPr>
          <w:sz w:val="22"/>
          <w:szCs w:val="22"/>
        </w:rPr>
        <w:t xml:space="preserve">Completed:</w:t>
      </w:r>
    </w:p>
    <w:p>
      <w:pPr>
        <w:pStyle w:val="ListParagraph"/>
        <w:numPr>
          <w:ilvl w:val="0"/>
          <w:numId w:val="2"/>
        </w:numPr>
        <w:spacing w:after="66" w:line="268"/>
      </w:pPr>
      <w:r>
        <w:rPr>
          <w:sz w:val="22"/>
          <w:szCs w:val="22"/>
        </w:rPr>
        <w:t xml:space="preserve">Set up the spatial integration pipeline in R (sf): read the cleaned sensor locations, projected to a metre-based CRS, and built a 500 m buffer around each usable sensor.</w:t>
      </w:r>
    </w:p>
    <w:p>
      <w:pPr>
        <w:pStyle w:val="ListParagraph"/>
        <w:numPr>
          <w:ilvl w:val="0"/>
          <w:numId w:val="2"/>
        </w:numPr>
        <w:spacing w:after="66" w:line="268"/>
      </w:pPr>
      <w:r>
        <w:rPr>
          <w:sz w:val="22"/>
          <w:szCs w:val="22"/>
        </w:rPr>
        <w:t xml:space="preserve">Linked the point-level nightlife data (bars/pubs and cafés, 2024) into each sensor's buffer, counting venues and summing patron capacity / seats per sensor.</w:t>
      </w:r>
    </w:p>
    <w:p>
      <w:pPr>
        <w:pStyle w:val="ListParagraph"/>
        <w:numPr>
          <w:ilvl w:val="0"/>
          <w:numId w:val="2"/>
        </w:numPr>
        <w:spacing w:after="66" w:line="268"/>
      </w:pPr>
      <w:r>
        <w:rPr>
          <w:sz w:val="22"/>
          <w:szCs w:val="22"/>
        </w:rPr>
        <w:t xml:space="preserve">Produced a first pilot integrated table combining noise outcomes with nightlife features at the sensor level, plus a diagnostic count of venues falling inside any buffer.</w:t>
      </w:r>
    </w:p>
    <w:p>
      <w:pPr>
        <w:pStyle w:val="ListParagraph"/>
        <w:numPr>
          <w:ilvl w:val="0"/>
          <w:numId w:val="2"/>
        </w:numPr>
        <w:spacing w:after="66" w:line="268"/>
      </w:pPr>
      <w:r>
        <w:rPr>
          <w:sz w:val="22"/>
          <w:szCs w:val="22"/>
        </w:rPr>
        <w:t xml:space="preserve">Mapped how each remaining dataset would connect and identified where the integration is currently blocked.</w:t>
      </w:r>
    </w:p>
    <w:p>
      <w:pPr>
        <w:spacing w:after="110" w:line="274"/>
      </w:pPr>
      <w:r>
        <w:rPr>
          <w:b/>
          <w:bCs/>
          <w:sz w:val="22"/>
          <w:szCs w:val="22"/>
        </w:rPr>
        <w:t xml:space="preserve">Main output (in progress): </w:t>
      </w:r>
      <w:r>
        <w:rPr>
          <w:sz w:val="22"/>
          <w:szCs w:val="22"/>
        </w:rPr>
        <w:t xml:space="preserve">a pilot integrated sensor-level dataset — currently covering noise + nightlife; CLUE and population still to be added.</w:t>
      </w:r>
    </w:p>
    <w:p>
      <w:pPr>
        <w:pStyle w:val="Heading1"/>
        <w:spacing w:after="110" w:before="260"/>
      </w:pPr>
      <w:r>
        <w:rPr>
          <w:b/>
          <w:bCs/>
          <w:color w:val="2166AC"/>
          <w:sz w:val="27"/>
          <w:szCs w:val="27"/>
        </w:rPr>
        <w:t xml:space="preserve">3. How the parts connect (integration status)</w:t>
      </w:r>
    </w:p>
    <w:p>
      <w:pPr>
        <w:spacing w:after="110" w:line="274"/>
      </w:pPr>
      <w:r>
        <w:rPr>
          <w:sz w:val="22"/>
          <w:szCs w:val="22"/>
        </w:rPr>
        <w:t xml:space="preserve">Linking the three data types differs a lot in difficulty:</w:t>
      </w:r>
    </w:p>
    <w:tbl>
      <w:tblPr>
        <w:tblW w:type="dxa" w:w="844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940"/>
      </w:tblGrid>
      <w:tr>
        <w:trPr>
          <w:tblHeader/>
        </w:trPr>
        <w:tc>
          <w:tcPr>
            <w:tcW w:type="dxa" w:w="2600"/>
            <w:shd w:fill="2166AC" w:color="auto" w:val="clear"/>
            <w:tcMar>
              <w:top w:type="dxa" w:w="60"/>
              <w:left w:type="dxa" w:w="90"/>
              <w:bottom w:type="dxa" w:w="60"/>
              <w:right w:type="dxa" w:w="90"/>
            </w:tcMar>
          </w:tcPr>
          <w:p>
            <w:r>
              <w:rPr>
                <w:b/>
                <w:bCs/>
                <w:color w:val="FFFFFF"/>
                <w:sz w:val="20"/>
                <w:szCs w:val="20"/>
              </w:rPr>
              <w:t xml:space="preserve">Data type</w:t>
            </w:r>
          </w:p>
        </w:tc>
        <w:tc>
          <w:tcPr>
            <w:tcW w:type="dxa" w:w="2900"/>
            <w:shd w:fill="2166AC" w:color="auto" w:val="clear"/>
            <w:tcMar>
              <w:top w:type="dxa" w:w="60"/>
              <w:left w:type="dxa" w:w="90"/>
              <w:bottom w:type="dxa" w:w="60"/>
              <w:right w:type="dxa" w:w="90"/>
            </w:tcMar>
          </w:tcPr>
          <w:p>
            <w:r>
              <w:rPr>
                <w:b/>
                <w:bCs/>
                <w:color w:val="FFFFFF"/>
                <w:sz w:val="20"/>
                <w:szCs w:val="20"/>
              </w:rPr>
              <w:t xml:space="preserve">How it links to sensors</w:t>
            </w:r>
          </w:p>
        </w:tc>
        <w:tc>
          <w:tcPr>
            <w:tcW w:type="dxa" w:w="2940"/>
            <w:shd w:fill="2166AC" w:color="auto" w:val="clear"/>
            <w:tcMar>
              <w:top w:type="dxa" w:w="60"/>
              <w:left w:type="dxa" w:w="90"/>
              <w:bottom w:type="dxa" w:w="60"/>
              <w:right w:type="dxa" w:w="90"/>
            </w:tcMar>
          </w:tcPr>
          <w:p>
            <w:r>
              <w:rPr>
                <w:b/>
                <w:bCs/>
                <w:color w:val="FFFFFF"/>
                <w:sz w:val="20"/>
                <w:szCs w:val="20"/>
              </w:rPr>
              <w:t xml:space="preserve">Status</w:t>
            </w:r>
          </w:p>
        </w:tc>
      </w:tr>
      <w:tr>
        <w:trPr>
          <w:tblHeader w:val="false"/>
        </w:trPr>
        <w:tc>
          <w:tcPr>
            <w:tcW w:type="dxa" w:w="2600"/>
            <w:shd w:fill="F3F6FA" w:color="auto" w:val="clear"/>
            <w:tcMar>
              <w:top w:type="dxa" w:w="60"/>
              <w:left w:type="dxa" w:w="90"/>
              <w:bottom w:type="dxa" w:w="60"/>
              <w:right w:type="dxa" w:w="90"/>
            </w:tcMar>
          </w:tcPr>
          <w:p>
            <w:r>
              <w:rPr>
                <w:b w:val="false"/>
                <w:bCs w:val="false"/>
                <w:sz w:val="20"/>
                <w:szCs w:val="20"/>
              </w:rPr>
              <w:t xml:space="preserve">Bars/pubs, cafés/restaurants (point-level, own lat/lon)</w:t>
            </w:r>
          </w:p>
        </w:tc>
        <w:tc>
          <w:tcPr>
            <w:tcW w:type="dxa" w:w="2900"/>
            <w:shd w:fill="F3F6FA" w:color="auto" w:val="clear"/>
            <w:tcMar>
              <w:top w:type="dxa" w:w="60"/>
              <w:left w:type="dxa" w:w="90"/>
              <w:bottom w:type="dxa" w:w="60"/>
              <w:right w:type="dxa" w:w="90"/>
            </w:tcMar>
          </w:tcPr>
          <w:p>
            <w:r>
              <w:rPr>
                <w:b w:val="false"/>
                <w:bCs w:val="false"/>
                <w:sz w:val="20"/>
                <w:szCs w:val="20"/>
              </w:rPr>
              <w:t xml:space="preserve">Point falls inside the 500 m buffer — direct spatial join</w:t>
            </w:r>
          </w:p>
        </w:tc>
        <w:tc>
          <w:tcPr>
            <w:tcW w:type="dxa" w:w="2940"/>
            <w:shd w:fill="F3F6FA" w:color="auto" w:val="clear"/>
            <w:tcMar>
              <w:top w:type="dxa" w:w="60"/>
              <w:left w:type="dxa" w:w="90"/>
              <w:bottom w:type="dxa" w:w="60"/>
              <w:right w:type="dxa" w:w="90"/>
            </w:tcMar>
          </w:tcPr>
          <w:p>
            <w:r>
              <w:rPr>
                <w:b w:val="false"/>
                <w:bCs w:val="false"/>
                <w:sz w:val="20"/>
                <w:szCs w:val="20"/>
              </w:rPr>
              <w:t xml:space="preserve">Working</w:t>
            </w:r>
          </w:p>
        </w:tc>
      </w:tr>
      <w:tr>
        <w:trPr>
          <w:tblHeader w:val="false"/>
        </w:trPr>
        <w:tc>
          <w:tcPr>
            <w:tcW w:type="dxa" w:w="2600"/>
            <w:shd w:fill="FFFFFF" w:color="auto" w:val="clear"/>
            <w:tcMar>
              <w:top w:type="dxa" w:w="60"/>
              <w:left w:type="dxa" w:w="90"/>
              <w:bottom w:type="dxa" w:w="60"/>
              <w:right w:type="dxa" w:w="90"/>
            </w:tcMar>
          </w:tcPr>
          <w:p>
            <w:r>
              <w:rPr>
                <w:b w:val="false"/>
                <w:bCs w:val="false"/>
                <w:sz w:val="20"/>
                <w:szCs w:val="20"/>
              </w:rPr>
              <w:t xml:space="preserve">CLUE business / floor-space (block-level, no coordinates)</w:t>
            </w:r>
          </w:p>
        </w:tc>
        <w:tc>
          <w:tcPr>
            <w:tcW w:type="dxa" w:w="2900"/>
            <w:shd w:fill="FFFFFF" w:color="auto" w:val="clear"/>
            <w:tcMar>
              <w:top w:type="dxa" w:w="60"/>
              <w:left w:type="dxa" w:w="90"/>
              <w:bottom w:type="dxa" w:w="60"/>
              <w:right w:type="dxa" w:w="90"/>
            </w:tcMar>
          </w:tcPr>
          <w:p>
            <w:r>
              <w:rPr>
                <w:b w:val="false"/>
                <w:bCs w:val="false"/>
                <w:sz w:val="20"/>
                <w:szCs w:val="20"/>
              </w:rPr>
              <w:t xml:space="preserve">Needs CLUE block boundary polygons (centroid-in-buffer or area weighting)</w:t>
            </w:r>
          </w:p>
        </w:tc>
        <w:tc>
          <w:tcPr>
            <w:tcW w:type="dxa" w:w="2940"/>
            <w:shd w:fill="FFFFFF" w:color="auto" w:val="clear"/>
            <w:tcMar>
              <w:top w:type="dxa" w:w="60"/>
              <w:left w:type="dxa" w:w="90"/>
              <w:bottom w:type="dxa" w:w="60"/>
              <w:right w:type="dxa" w:w="90"/>
            </w:tcMar>
          </w:tcPr>
          <w:p>
            <w:r>
              <w:rPr>
                <w:b w:val="false"/>
                <w:bCs w:val="false"/>
                <w:sz w:val="20"/>
                <w:szCs w:val="20"/>
              </w:rPr>
              <w:t xml:space="preserve">Blocked — geometry missing</w:t>
            </w:r>
          </w:p>
        </w:tc>
      </w:tr>
      <w:tr>
        <w:trPr>
          <w:tblHeader w:val="false"/>
        </w:trPr>
        <w:tc>
          <w:tcPr>
            <w:tcW w:type="dxa" w:w="2600"/>
            <w:shd w:fill="F3F6FA" w:color="auto" w:val="clear"/>
            <w:tcMar>
              <w:top w:type="dxa" w:w="60"/>
              <w:left w:type="dxa" w:w="90"/>
              <w:bottom w:type="dxa" w:w="60"/>
              <w:right w:type="dxa" w:w="90"/>
            </w:tcMar>
          </w:tcPr>
          <w:p>
            <w:r>
              <w:rPr>
                <w:b w:val="false"/>
                <w:bCs w:val="false"/>
                <w:sz w:val="20"/>
                <w:szCs w:val="20"/>
              </w:rPr>
              <w:t xml:space="preserve">Population / density (teacher-provided)</w:t>
            </w:r>
          </w:p>
        </w:tc>
        <w:tc>
          <w:tcPr>
            <w:tcW w:type="dxa" w:w="2900"/>
            <w:shd w:fill="F3F6FA" w:color="auto" w:val="clear"/>
            <w:tcMar>
              <w:top w:type="dxa" w:w="60"/>
              <w:left w:type="dxa" w:w="90"/>
              <w:bottom w:type="dxa" w:w="60"/>
              <w:right w:type="dxa" w:w="90"/>
            </w:tcMar>
          </w:tcPr>
          <w:p>
            <w:r>
              <w:rPr>
                <w:b w:val="false"/>
                <w:bCs w:val="false"/>
                <w:sz w:val="20"/>
                <w:szCs w:val="20"/>
              </w:rPr>
              <w:t xml:space="preserve">Depends on unit: small-area name join, or areal interpolation from ABS SA1/SA2</w:t>
            </w:r>
          </w:p>
        </w:tc>
        <w:tc>
          <w:tcPr>
            <w:tcW w:type="dxa" w:w="2940"/>
            <w:shd w:fill="F3F6FA" w:color="auto" w:val="clear"/>
            <w:tcMar>
              <w:top w:type="dxa" w:w="60"/>
              <w:left w:type="dxa" w:w="90"/>
              <w:bottom w:type="dxa" w:w="60"/>
              <w:right w:type="dxa" w:w="90"/>
            </w:tcMar>
          </w:tcPr>
          <w:p>
            <w:r>
              <w:rPr>
                <w:b w:val="false"/>
                <w:bCs w:val="false"/>
                <w:sz w:val="20"/>
                <w:szCs w:val="20"/>
              </w:rPr>
              <w:t xml:space="preserve">Not started — file not yet inspected</w:t>
            </w:r>
          </w:p>
        </w:tc>
      </w:tr>
    </w:tbl>
    <w:p>
      <w:pPr>
        <w:spacing w:after="120" w:before="100" w:line="276"/>
      </w:pPr>
      <w:r>
        <w:rPr>
          <w:b/>
          <w:bCs/>
          <w:sz w:val="22"/>
          <w:szCs w:val="22"/>
        </w:rPr>
        <w:t xml:space="preserve">Key finding: </w:t>
      </w:r>
      <w:r>
        <w:rPr>
          <w:sz w:val="22"/>
          <w:szCs w:val="22"/>
        </w:rPr>
        <w:t xml:space="preserve">point-level data links cleanly into the buffers, but the block-level CLUE / floor-space data has no coordinates and cannot be joined until we obtain the CLUE block boundary polygons. Population linkage has not started pending inspection of its spatial unit.</w:t>
      </w:r>
    </w:p>
    <w:p>
      <w:pPr>
        <w:pStyle w:val="Heading1"/>
        <w:spacing w:after="110" w:before="260"/>
      </w:pPr>
      <w:r>
        <w:rPr>
          <w:b/>
          <w:bCs/>
          <w:color w:val="2166AC"/>
          <w:sz w:val="27"/>
          <w:szCs w:val="27"/>
        </w:rPr>
        <w:t xml:space="preserve">4. Questions we can answer now</w:t>
      </w:r>
    </w:p>
    <w:p>
      <w:pPr>
        <w:pStyle w:val="ListParagraph"/>
        <w:numPr>
          <w:ilvl w:val="0"/>
          <w:numId w:val="2"/>
        </w:numPr>
        <w:spacing w:after="66" w:line="268"/>
      </w:pPr>
      <w:r>
        <w:rPr>
          <w:sz w:val="22"/>
          <w:szCs w:val="22"/>
        </w:rPr>
        <w:t xml:space="preserve">There is enough noise data to describe patterns by hour of day, day of week and over time, and to compare sensors.</w:t>
      </w:r>
    </w:p>
    <w:p>
      <w:pPr>
        <w:pStyle w:val="ListParagraph"/>
        <w:numPr>
          <w:ilvl w:val="0"/>
          <w:numId w:val="2"/>
        </w:numPr>
        <w:spacing w:after="66" w:line="268"/>
      </w:pPr>
      <w:r>
        <w:rPr>
          <w:sz w:val="22"/>
          <w:szCs w:val="22"/>
        </w:rPr>
        <w:t xml:space="preserve">Nightlife activity can be described by area and block (venue counts, patron capacity, café seating), including trends over time in the CBD.</w:t>
      </w:r>
    </w:p>
    <w:p>
      <w:pPr>
        <w:pStyle w:val="ListParagraph"/>
        <w:numPr>
          <w:ilvl w:val="0"/>
          <w:numId w:val="2"/>
        </w:numPr>
        <w:spacing w:after="66" w:line="268"/>
      </w:pPr>
      <w:r>
        <w:rPr>
          <w:sz w:val="22"/>
          <w:szCs w:val="22"/>
        </w:rPr>
        <w:t xml:space="preserve">The 500 m buffer approach is workable, and point-level venue data links into it reliably — so the core integration method is feasible.</w:t>
      </w:r>
    </w:p>
    <w:p>
      <w:pPr>
        <w:pStyle w:val="Heading1"/>
        <w:spacing w:after="110" w:before="260"/>
      </w:pPr>
      <w:r>
        <w:rPr>
          <w:b/>
          <w:bCs/>
          <w:color w:val="2166AC"/>
          <w:sz w:val="27"/>
          <w:szCs w:val="27"/>
        </w:rPr>
        <w:t xml:space="preserve">5. Questions we cannot answer yet</w:t>
      </w:r>
    </w:p>
    <w:p>
      <w:pPr>
        <w:pStyle w:val="ListParagraph"/>
        <w:numPr>
          <w:ilvl w:val="0"/>
          <w:numId w:val="2"/>
        </w:numPr>
        <w:spacing w:after="66" w:line="268"/>
      </w:pPr>
      <w:r>
        <w:rPr>
          <w:sz w:val="22"/>
          <w:szCs w:val="22"/>
        </w:rPr>
        <w:t xml:space="preserve">The meaning/unit of the Noise variable is still unknown, which limits how the noise values can be interpreted.</w:t>
      </w:r>
    </w:p>
    <w:p>
      <w:pPr>
        <w:pStyle w:val="ListParagraph"/>
        <w:numPr>
          <w:ilvl w:val="0"/>
          <w:numId w:val="2"/>
        </w:numPr>
        <w:spacing w:after="66" w:line="268"/>
      </w:pPr>
      <w:r>
        <w:rPr>
          <w:sz w:val="22"/>
          <w:szCs w:val="22"/>
        </w:rPr>
        <w:t xml:space="preserve">Block-level CLUE / floor-space features cannot yet be linked to sensors — blocked on the CLUE block boundary geometry.</w:t>
      </w:r>
    </w:p>
    <w:p>
      <w:pPr>
        <w:pStyle w:val="ListParagraph"/>
        <w:numPr>
          <w:ilvl w:val="0"/>
          <w:numId w:val="2"/>
        </w:numPr>
        <w:spacing w:after="66" w:line="268"/>
      </w:pPr>
      <w:r>
        <w:rPr>
          <w:sz w:val="22"/>
          <w:szCs w:val="22"/>
        </w:rPr>
        <w:t xml:space="preserve">Population and population-density linkage depends on the granularity of the teacher-provided file, not yet inspected.</w:t>
      </w:r>
    </w:p>
    <w:p>
      <w:pPr>
        <w:pStyle w:val="ListParagraph"/>
        <w:numPr>
          <w:ilvl w:val="0"/>
          <w:numId w:val="2"/>
        </w:numPr>
        <w:spacing w:after="66" w:line="268"/>
      </w:pPr>
      <w:r>
        <w:rPr>
          <w:sz w:val="22"/>
          <w:szCs w:val="22"/>
        </w:rPr>
        <w:t xml:space="preserve">Actual match rates (venues/blocks falling outside every buffer) will only be known once the integration script is run on the full local data.</w:t>
      </w:r>
    </w:p>
    <w:p>
      <w:pPr>
        <w:pStyle w:val="ListParagraph"/>
        <w:numPr>
          <w:ilvl w:val="0"/>
          <w:numId w:val="2"/>
        </w:numPr>
        <w:spacing w:after="66" w:line="268"/>
      </w:pPr>
      <w:r>
        <w:rPr>
          <w:sz w:val="22"/>
          <w:szCs w:val="22"/>
        </w:rPr>
        <w:t xml:space="preserve">Scale caveat: there are only ~10 usable sensors with overlapping buffers, so the integrated dataset is small — a feasibility pilot, not a modelling sample.</w:t>
      </w:r>
    </w:p>
    <w:p>
      <w:pPr>
        <w:pStyle w:val="Heading1"/>
        <w:spacing w:after="110" w:before="260"/>
      </w:pPr>
      <w:r>
        <w:rPr>
          <w:b/>
          <w:bCs/>
          <w:color w:val="2166AC"/>
          <w:sz w:val="27"/>
          <w:szCs w:val="27"/>
        </w:rPr>
        <w:t xml:space="preserve">6. Suggested next steps</w:t>
      </w:r>
    </w:p>
    <w:p>
      <w:pPr>
        <w:pStyle w:val="ListParagraph"/>
        <w:numPr>
          <w:ilvl w:val="0"/>
          <w:numId w:val="2"/>
        </w:numPr>
        <w:spacing w:after="66" w:line="268"/>
      </w:pPr>
      <w:r>
        <w:rPr>
          <w:sz w:val="22"/>
          <w:szCs w:val="22"/>
        </w:rPr>
        <w:t xml:space="preserve">Clarify the Noise variable's unit/definition (ask the tutor or check the data source).</w:t>
      </w:r>
    </w:p>
    <w:p>
      <w:pPr>
        <w:pStyle w:val="ListParagraph"/>
        <w:numPr>
          <w:ilvl w:val="0"/>
          <w:numId w:val="2"/>
        </w:numPr>
        <w:spacing w:after="66" w:line="268"/>
      </w:pPr>
      <w:r>
        <w:rPr>
          <w:sz w:val="22"/>
          <w:szCs w:val="22"/>
        </w:rPr>
        <w:t xml:space="preserve">Obtain the CLUE block boundary polygons (City of Melbourne open data) so block-level features can be linked.</w:t>
      </w:r>
    </w:p>
    <w:p>
      <w:pPr>
        <w:pStyle w:val="ListParagraph"/>
        <w:numPr>
          <w:ilvl w:val="0"/>
          <w:numId w:val="2"/>
        </w:numPr>
        <w:spacing w:after="66" w:line="268"/>
      </w:pPr>
      <w:r>
        <w:rPr>
          <w:sz w:val="22"/>
          <w:szCs w:val="22"/>
        </w:rPr>
        <w:t xml:space="preserve">Inspect the population dataset together and decide between a small-area name join and areal interpolation.</w:t>
      </w:r>
    </w:p>
    <w:p>
      <w:pPr>
        <w:pStyle w:val="ListParagraph"/>
        <w:numPr>
          <w:ilvl w:val="0"/>
          <w:numId w:val="2"/>
        </w:numPr>
        <w:spacing w:after="66" w:line="268"/>
      </w:pPr>
      <w:r>
        <w:rPr>
          <w:sz w:val="22"/>
          <w:szCs w:val="22"/>
        </w:rPr>
        <w:t xml:space="preserve">Decide on scope: focus on noise + nightlife + population, and treat biodiversity (flora/fauna, KBA) as an optional extension rather than a core part.</w:t>
      </w:r>
    </w:p>
    <w:p>
      <w:pPr>
        <w:pStyle w:val="ListParagraph"/>
        <w:numPr>
          <w:ilvl w:val="0"/>
          <w:numId w:val="2"/>
        </w:numPr>
        <w:spacing w:after="66" w:line="268"/>
      </w:pPr>
      <w:r>
        <w:rPr>
          <w:sz w:val="22"/>
          <w:szCs w:val="22"/>
        </w:rPr>
        <w:t xml:space="preserve">Once the above are resolved, complete the full pilot table (noise + nightlife + CLUE + population) and add 1–2 integration figures.</w:t>
      </w:r>
    </w:p>
    <w:p>
      <w:pPr>
        <w:pBdr>
          <w:bottom w:val="single" w:color="D0D7DE" w:sz="6"/>
        </w:pBdr>
        <w:spacing w:after="120" w:before="80"/>
      </w:pPr>
    </w:p>
    <w:p>
      <w:pPr>
        <w:spacing w:before="60"/>
      </w:pPr>
      <w:r>
        <w:rPr>
          <w:i/>
          <w:iCs/>
          <w:color w:val="555555"/>
          <w:sz w:val="19"/>
          <w:szCs w:val="19"/>
        </w:rPr>
        <w:t xml:space="preserve">Note: member summaries are compiled from the scripts pushed to the shared repository and should be confirmed by each member. The integration script is a working scaffold that still needs to be run and checked against the full local datasets.</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2026-08-27T14:02:31.417Z</dcterms:created>
  <dcterms:modified xsi:type="dcterms:W3CDTF">2026-08-27T14:02:31.430Z</dcterms:modified>
</cp:coreProperties>
</file>

<file path=docProps/custom.xml><?xml version="1.0" encoding="utf-8"?>
<Properties xmlns="http://schemas.openxmlformats.org/officeDocument/2006/custom-properties" xmlns:vt="http://schemas.openxmlformats.org/officeDocument/2006/docPropsVTypes"/>
</file>