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Recorded Noise Presentation Script</w:t>
      </w:r>
    </w:p>
    <w:p>
      <w:pPr>
        <w:spacing w:after="60"/>
        <w:jc w:val="left"/>
      </w:pPr>
      <w:r>
        <w:rPr>
          <w:rFonts w:ascii="Aptos" w:hAnsi="Aptos"/>
          <w:color w:val="526071"/>
          <w:sz w:val="25"/>
        </w:rPr>
        <w:t>Three speakers  Plain language with essential technical terms  15 minute maximum</w:t>
      </w:r>
    </w:p>
    <w:p>
      <w:pPr>
        <w:spacing w:after="180"/>
      </w:pPr>
      <w:r>
        <w:rPr>
          <w:rFonts w:ascii="Aptos" w:hAnsi="Aptos"/>
          <w:b/>
          <w:color w:val="0F6175"/>
          <w:sz w:val="19"/>
        </w:rPr>
        <w:t>PLANNED SPEECH ABOUT 12 MINUTES 45 SECONDS  SHORT SENTENCES FOR MEMORISATION</w:t>
      </w:r>
    </w:p>
    <w:p>
      <w:r>
        <w:rPr>
          <w:rFonts w:ascii="Aptos" w:hAnsi="Aptos"/>
          <w:b/>
          <w:color w:val="172033"/>
          <w:sz w:val="22"/>
        </w:rPr>
        <w:t xml:space="preserve">How to use this version. </w:t>
      </w:r>
      <w:r>
        <w:rPr>
          <w:rFonts w:ascii="Aptos" w:hAnsi="Aptos"/>
          <w:color w:val="172033"/>
          <w:sz w:val="22"/>
        </w:rPr>
        <w:t>Say the professional term, explain it in everyday language, and pause after important numbers.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656"/>
            <w:shd w:fill="0F617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Speaker</w:t>
            </w:r>
          </w:p>
        </w:tc>
        <w:tc>
          <w:tcPr>
            <w:tcW w:type="dxa" w:w="4536"/>
            <w:shd w:fill="0F617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Responsibility</w:t>
            </w:r>
          </w:p>
        </w:tc>
        <w:tc>
          <w:tcPr>
            <w:tcW w:type="dxa" w:w="1584"/>
            <w:shd w:fill="0F617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Slides</w:t>
            </w:r>
          </w:p>
        </w:tc>
        <w:tc>
          <w:tcPr>
            <w:tcW w:type="dxa" w:w="1584"/>
            <w:shd w:fill="0F617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72033"/>
                <w:sz w:val="19"/>
              </w:rPr>
              <w:t>Sandhya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72033"/>
                <w:sz w:val="19"/>
              </w:rPr>
              <w:t>Find the data and explain the sample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72033"/>
                <w:sz w:val="19"/>
              </w:rPr>
              <w:t>1 to 4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72033"/>
                <w:sz w:val="19"/>
              </w:rPr>
              <w:t>3:50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4F8FA"/>
          </w:tcPr>
          <w:p>
            <w:pPr>
              <w:jc w:val="center"/>
            </w:pPr>
            <w:r>
              <w:rPr>
                <w:rFonts w:ascii="Aptos" w:hAnsi="Aptos"/>
                <w:color w:val="172033"/>
                <w:sz w:val="19"/>
              </w:rPr>
              <w:t>Xinlei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4F8FA"/>
          </w:tcPr>
          <w:p>
            <w:pPr>
              <w:jc w:val="left"/>
            </w:pPr>
            <w:r>
              <w:rPr>
                <w:rFonts w:ascii="Aptos" w:hAnsi="Aptos"/>
                <w:color w:val="172033"/>
                <w:sz w:val="19"/>
              </w:rPr>
              <w:t>Link the data and explain the visuals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4F8FA"/>
          </w:tcPr>
          <w:p>
            <w:pPr>
              <w:jc w:val="center"/>
            </w:pPr>
            <w:r>
              <w:rPr>
                <w:rFonts w:ascii="Aptos" w:hAnsi="Aptos"/>
                <w:color w:val="172033"/>
                <w:sz w:val="19"/>
              </w:rPr>
              <w:t>5 to 8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4F8FA"/>
          </w:tcPr>
          <w:p>
            <w:pPr>
              <w:jc w:val="center"/>
            </w:pPr>
            <w:r>
              <w:rPr>
                <w:rFonts w:ascii="Aptos" w:hAnsi="Aptos"/>
                <w:color w:val="172033"/>
                <w:sz w:val="19"/>
              </w:rPr>
              <w:t>4:35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72033"/>
                <w:sz w:val="19"/>
              </w:rPr>
              <w:t>Chen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72033"/>
                <w:sz w:val="19"/>
              </w:rPr>
              <w:t>Explain the methods and close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72033"/>
                <w:sz w:val="19"/>
              </w:rPr>
              <w:t>9 to 12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72033"/>
                <w:sz w:val="19"/>
              </w:rPr>
              <w:t>4:20</w:t>
            </w:r>
          </w:p>
        </w:tc>
      </w:tr>
    </w:tbl>
    <w:p>
      <w:pPr>
        <w:pStyle w:val="Heading1"/>
      </w:pPr>
      <w:r>
        <w:t>Sandhya  Finding the data and preparing a defensible sample</w:t>
      </w:r>
    </w:p>
    <w:p>
      <w:pPr>
        <w:pStyle w:val="Heading2"/>
      </w:pPr>
      <w:r>
        <w:t>Slide 1  Why this matters  0:50</w:t>
      </w:r>
    </w:p>
    <w:p>
      <w:pPr>
        <w:pStyle w:val="Speakercue"/>
        <w:keepNext/>
      </w:pPr>
      <w:r>
        <w:t>Start slowly and make eye contact.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Good morning.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Cities collect sensor data to support decisions.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But a large dataset is not always a complete dataset.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Our project asks three simple questions.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When do the recorded values change?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How are the monitored sites different?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And can nearby activity help explain those differences?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We want useful answers without claiming more than the data can support.</w:t>
      </w:r>
    </w:p>
    <w:p>
      <w:pPr>
        <w:pStyle w:val="Heading2"/>
      </w:pPr>
      <w:r>
        <w:t>Slide 2  What the sensor data represent  0:40</w:t>
      </w:r>
    </w:p>
    <w:p>
      <w:pPr>
        <w:pStyle w:val="Speakercue"/>
        <w:keepNext/>
      </w:pPr>
      <w:r>
        <w:t>Point to the photograph once; do not identify an unverified model.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This photo shows the kind of fixed monitoring equipment used for repeated measurements.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 devices are placed at selected locations.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 source gives us readings at roughly fifteen-minute intervals.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 measured field is called Noise in the dataset.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We use those repeated values to compare time periods and locations.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These records are not noise complaints.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They also do not cover the whole city.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 exact sensor model, unit, and calibration still need confirmation.</w:t>
      </w:r>
    </w:p>
    <w:p>
      <w:pPr>
        <w:pStyle w:val="Heading2"/>
      </w:pPr>
      <w:r>
        <w:t>Slide 3  The evidence boundary  0:50</w:t>
      </w:r>
    </w:p>
    <w:p>
      <w:pPr>
        <w:pStyle w:val="Speakercue"/>
        <w:keepNext/>
      </w:pPr>
      <w:r>
        <w:t>Pause after the plain-language definition.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First, we set an evidence boundary.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In plain language, this is the line between what the data can support and what it cannot support.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We can describe patterns at the monitored locations.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We can compare times, sites, and nearby context.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But we could not confirm the physical unit or calibration.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So we say recorded Noise in dataset units, not decibels.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 network is not city-wide.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And an association does not prove that one factor caused another.</w:t>
      </w:r>
    </w:p>
    <w:p>
      <w:pPr>
        <w:pStyle w:val="Heading2"/>
      </w:pPr>
      <w:r>
        <w:t>Slide 4  A defensible analytical sample  1:30</w:t>
      </w:r>
    </w:p>
    <w:p>
      <w:pPr>
        <w:pStyle w:val="Speakercue"/>
        <w:keepNext/>
      </w:pPr>
      <w:r>
        <w:t>Point once to the coverage figure. Hand over on the final sentence.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Before looking for patterns, we checked the raw data.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 snapshot has 975,550 records from 12 devices.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About 894,000 records contain usable numerical Noise values.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One device has no usable values, so the analysis uses 11 sensors.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 records run from May 2022 to August 2026.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However, the sensors were not all active at the same time.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Some started later, some ended earlier, and some have gaps.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That matters because a pooled pattern can change when the active sensor mix changes.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We kept zero values in the main analysis because their meaning is unknown.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We then removed them in a sensitivity check.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A sensitivity check asks whether a reasonable change also changes the answer.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We also kept source snapshots and checksums, which are digital fingerprints of the files.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This makes our sample traceable and reproducible.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Xinlei will now explain how we linked the datasets and built the visuals.</w:t>
      </w:r>
    </w:p>
    <w:p>
      <w:pPr>
        <w:pStyle w:val="Heading1"/>
      </w:pPr>
      <w:r>
        <w:t>Xinlei  Linking data and turning the links into visuals</w:t>
      </w:r>
    </w:p>
    <w:p>
      <w:pPr>
        <w:pStyle w:val="Heading2"/>
      </w:pPr>
      <w:r>
        <w:t>Slide 5  Linking three data systems  1:05</w:t>
      </w:r>
    </w:p>
    <w:p>
      <w:pPr>
        <w:pStyle w:val="Speakercue"/>
        <w:keepNext/>
      </w:pPr>
      <w:r>
        <w:t>Begin only after Sandhya finishes.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Thank you, Sandhya.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We linked Noise sensors, pedestrian counters, and hospitality records.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We first projected the coordinates so distance could be measured in metres.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We then drew buffers around each Noise sensor.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A buffer is simply a circle that defines what counts as nearby.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Our main distance is 500 metres.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We also checked 250 and 1,000 metres.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 pedestrian data are from 2025.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 hospitality records are from 2024, so they are background context rather than a perfect time match.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 circles can overlap.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They describe proximity only; they are not neighbourhood boundaries and they do not prove exposure.</w:t>
      </w:r>
    </w:p>
    <w:p>
      <w:pPr>
        <w:pStyle w:val="Heading2"/>
      </w:pPr>
      <w:r>
        <w:t>Slide 6  The clearest finding is a daily cycle  0:55</w:t>
      </w:r>
    </w:p>
    <w:p>
      <w:pPr>
        <w:pStyle w:val="Speakercue"/>
        <w:keepNext/>
      </w:pPr>
      <w:r>
        <w:t>Trace the daily curve once with your hand.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Our clearest finding is the daily cycle.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Recorded values are lowest at about three in the morning.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They are highest at about three to four in the afternoon.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 pooled line uses every record together.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 equal-sensor line gives each sensor the same influence.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You can think of that as one vote per sensor.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Both lines show almost the same daily shape.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So sensors with more records are not creating the pattern by themselves.</w:t>
      </w:r>
    </w:p>
    <w:p>
      <w:pPr>
        <w:pStyle w:val="Heading2"/>
      </w:pPr>
      <w:r>
        <w:t>Slide 7  One line still hides site differences  1:10</w:t>
      </w:r>
    </w:p>
    <w:p>
      <w:pPr>
        <w:pStyle w:val="Speakercue"/>
        <w:keepNext/>
      </w:pPr>
      <w:r>
        <w:t>Move from the heatmap to the small charts.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 overall daily line is useful, but it hides differences between sites.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 heatmap is a colour table that helps us compare sensors and hours quickly.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 small charts show each daily pattern on the same scale.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Site medians range from 52.3 to 81.1 dataset units.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A median is the middle value, so unusual extremes have less influence.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Sensors 02 and 03 are fairly flat.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Sensor 10 has the highest values and the strongest daytime rise.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These are differences in the recorded data.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But we cannot separate the location effect from calibration, mounting, and observation period.</w:t>
      </w:r>
    </w:p>
    <w:p>
      <w:pPr>
        <w:pStyle w:val="Heading2"/>
      </w:pPr>
      <w:r>
        <w:t>Slide 8  Pedestrian activity  1:25</w:t>
      </w:r>
    </w:p>
    <w:p>
      <w:pPr>
        <w:pStyle w:val="Speakercue"/>
        <w:keepNext/>
      </w:pPr>
      <w:r>
        <w:t>Pause before the plain-language interpretation and before the handover.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Next, we compared night-time recorded Noise with nearby pedestrian activity.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Ten sensors had a pedestrian counter within 500 metres.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We used Spearman correlation.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This checks whether two rankings tend to move in the same direction.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At 500 metres, Spearman's rho was 0.248.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 permutation p-value was 0.494.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That is not a convincing difference from random re-pairings in this sample.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 red line is an ordinary least-squares trend line.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 shaded area is a 95 percent confidence band for the fitted average line.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It is not a prediction range for individual sites, and it is not an interval for Spearman's rho.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When we removed one site at a time, rho ranged from 0.067 to 0.583.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It also changed when we changed the buffer size.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So this dataset does not give a stable simple answer.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That does not mean pedestrians and urban sound are unrelated everywhere.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Chen will now explain the hospitality result and our small-sample methods.</w:t>
      </w:r>
    </w:p>
    <w:p>
      <w:pPr>
        <w:pStyle w:val="Heading1"/>
      </w:pPr>
      <w:r>
        <w:t>Chen  Methods for the small sample</w:t>
      </w:r>
    </w:p>
    <w:p>
      <w:pPr>
        <w:pStyle w:val="Heading2"/>
      </w:pPr>
      <w:r>
        <w:t>Slide 9  The original hospitality screen  0:55</w:t>
      </w:r>
    </w:p>
    <w:p>
      <w:pPr>
        <w:pStyle w:val="Speakercue"/>
        <w:keepNext/>
      </w:pPr>
      <w:r>
        <w:t>Keep the original rule and result separate from the follow-up.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Thank you, Xinlei.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For our third question, we kept the original screening rule frozen.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Frozen means we chose the rule first and did not move it after seeing the result.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A candidate needed recorded Noise below 64.2 and more than 206 hospitality venues nearby.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At 500 metres, no site met both conditions.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That zero-candidate result is the answer to the original screen.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 rule is easy to explain, but it turns two continuous measures into pass or fail.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That can hide information, so we kept the screen and added a separate follow-up.</w:t>
      </w:r>
    </w:p>
    <w:p>
      <w:pPr>
        <w:pStyle w:val="Heading2"/>
      </w:pPr>
      <w:r>
        <w:t>Slide 10  Exploratory hospitality follow-up  1:00</w:t>
      </w:r>
    </w:p>
    <w:p>
      <w:pPr>
        <w:pStyle w:val="Speakercue"/>
        <w:keepNext/>
      </w:pPr>
      <w:r>
        <w:t>Say clearly that the bars are not confidence intervals.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 follow-up uses all of the site rankings.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At 500 metres, Spearman's rho was 0.727.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 permutation p-value was 0.014 across 11 sites.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 positive direction stayed when we removed one site at a time.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It also stayed positive at all three buffer distances.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 vertical bars show the leave-one-site-out range.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They are not confidence intervals.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This is a useful lead, but it is still exploratory.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 hospitality records are from 2024, buffers overlap, and other factors could explain the pattern.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So we do not claim that hospitality activity caused higher recorded Noise.</w:t>
      </w:r>
    </w:p>
    <w:p>
      <w:pPr>
        <w:pStyle w:val="Heading2"/>
      </w:pPr>
      <w:r>
        <w:t>Slide 11  Methods matched to a small sample  1:15</w:t>
      </w:r>
    </w:p>
    <w:p>
      <w:pPr>
        <w:pStyle w:val="Speakercue"/>
        <w:keepNext/>
      </w:pPr>
      <w:r>
        <w:t>Explain the purpose of each method, not the formula.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Our site-level sample has only 10 or 11 locations.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That is why we chose simple and robust methods.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We used medians to reduce the influence of extreme values.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We used equal-sensor summaries so a sensor with more records did not get more weight.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Spearman correlation compares rankings and does not require a perfect straight-line relationship.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For the permutation test, we kept the context ranks fixed.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Then we shuffled the Noise ranks across sensor sites 99,999 times.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We counted how often a shuffled correlation was at least as strong as the observed one.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This comparison assumes the sites are exchangeable under the null.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Nearby sites and overlapping buffers may weaken that assumption, so we stay cautious.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We also removed one site at a time and repeated the links at three distances.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A complex model might look advanced, but with so few sites it would be easier to overfit and harder to defend.</w:t>
      </w:r>
    </w:p>
    <w:p>
      <w:pPr>
        <w:pStyle w:val="Heading2"/>
      </w:pPr>
      <w:r>
        <w:t>Slide 12  What we learned and questions  1:10</w:t>
      </w:r>
    </w:p>
    <w:p>
      <w:pPr>
        <w:pStyle w:val="Speakercue"/>
        <w:keepNext/>
      </w:pPr>
      <w:r>
        <w:t>Finish slowly and leave the Questions prompt on screen.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The project gives us five clear conclusions.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First, the monitored sensors share a clear daily cycle.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Second, the sites differ in their level and daily shape.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Third, the pedestrian result is not stable across reasonable checks.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Fourth, the original hospitality screen finds no candidate at 500 metres.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Fifth, the separate hospitality correlation is positive, but exploratory.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We also checked longer time scales, but changing coverage made the seasonal ordering too sensitive for another headline.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For us, success means a reproducible answer that stays within the evidence.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It does not mean a city-wide map, a causal result, or a health and safety measure.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Sparse sensor data can still help us ask better questions.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But the evidence boundary must stay visible.</w:t>
      </w:r>
    </w:p>
    <w:p>
      <w:pPr>
        <w:keepLines/>
        <w:spacing w:after="60"/>
      </w:pPr>
      <w:r>
        <w:rPr>
          <w:rFonts w:ascii="Aptos" w:hAnsi="Aptos"/>
          <w:color w:val="172033"/>
          <w:sz w:val="22"/>
        </w:rPr>
        <w:t>Thank you. We welcome your questions.</w:t>
      </w:r>
    </w:p>
    <w:p>
      <w:pPr>
        <w:pStyle w:val="Heading1"/>
      </w:pPr>
      <w:r>
        <w:t>Final rehearsal checklist</w:t>
      </w:r>
    </w:p>
    <w:p>
      <w:pPr>
        <w:pStyle w:val="ListBullet"/>
        <w:keepLines/>
        <w:spacing w:after="40"/>
      </w:pPr>
      <w:r>
        <w:rPr>
          <w:rFonts w:ascii="Aptos" w:hAnsi="Aptos"/>
          <w:color w:val="172033"/>
          <w:sz w:val="21"/>
        </w:rPr>
        <w:t>Say the technical term once, then use the simple explanation.</w:t>
      </w:r>
    </w:p>
    <w:p>
      <w:pPr>
        <w:pStyle w:val="ListBullet"/>
        <w:keepLines/>
        <w:spacing w:after="40"/>
      </w:pPr>
      <w:r>
        <w:rPr>
          <w:rFonts w:ascii="Aptos" w:hAnsi="Aptos"/>
          <w:color w:val="172033"/>
          <w:sz w:val="21"/>
        </w:rPr>
        <w:t>Pause after every important number so the audience can process it.</w:t>
      </w:r>
    </w:p>
    <w:p>
      <w:pPr>
        <w:pStyle w:val="ListBullet"/>
        <w:keepLines/>
        <w:spacing w:after="40"/>
      </w:pPr>
      <w:r>
        <w:rPr>
          <w:rFonts w:ascii="Aptos" w:hAnsi="Aptos"/>
          <w:color w:val="172033"/>
          <w:sz w:val="21"/>
        </w:rPr>
        <w:t>Do not read the figure labels word for word. Explain what the audience should notice.</w:t>
      </w:r>
    </w:p>
    <w:p>
      <w:pPr>
        <w:pStyle w:val="ListBullet"/>
        <w:keepLines/>
        <w:spacing w:after="40"/>
      </w:pPr>
      <w:r>
        <w:rPr>
          <w:rFonts w:ascii="Aptos" w:hAnsi="Aptos"/>
          <w:color w:val="172033"/>
          <w:sz w:val="21"/>
        </w:rPr>
        <w:t>Aim for about 13 minutes in rehearsal and stop adding details after 14 minutes.</w:t>
      </w:r>
    </w:p>
    <w:p>
      <w:pPr>
        <w:pStyle w:val="ListBullet"/>
        <w:keepLines/>
        <w:spacing w:after="40"/>
      </w:pPr>
      <w:r>
        <w:rPr>
          <w:rFonts w:ascii="Aptos" w:hAnsi="Aptos"/>
          <w:color w:val="172033"/>
          <w:sz w:val="21"/>
        </w:rPr>
        <w:t>Keep the handover sentence at the end of each speaker section.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26071"/>
        <w:sz w:val="16"/>
      </w:rPr>
      <w:t>ETC5543 presentation rehearsal material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akercue">
    <w:name w:val="Speaker cue"/>
    <w:pPr>
      <w:spacing w:after="80"/>
    </w:pPr>
    <w:rPr>
      <w:rFonts w:ascii="Aptos" w:hAnsi="Aptos"/>
      <w:i/>
      <w:color w:val="52607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