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DB915" w14:textId="77777777" w:rsidR="00D6211F" w:rsidRPr="00EB5753" w:rsidRDefault="00D6211F" w:rsidP="00D6211F">
      <w:pPr>
        <w:spacing w:before="100" w:beforeAutospacing="1" w:after="100" w:afterAutospacing="1"/>
        <w:rPr>
          <w:rFonts w:ascii="Calibri" w:eastAsia="Times New Roman" w:hAnsi="Calibri" w:cs="Times New Roman"/>
          <w:b/>
          <w:bCs/>
          <w:i/>
          <w:iCs/>
          <w:kern w:val="32"/>
          <w:sz w:val="32"/>
          <w:szCs w:val="26"/>
        </w:rPr>
      </w:pPr>
      <w:r w:rsidRPr="00EB5753">
        <w:rPr>
          <w:rFonts w:ascii="Calibri" w:eastAsia="Times New Roman" w:hAnsi="Calibri" w:cs="Times New Roman"/>
          <w:b/>
          <w:bCs/>
          <w:i/>
          <w:iCs/>
          <w:kern w:val="32"/>
          <w:sz w:val="32"/>
          <w:szCs w:val="26"/>
        </w:rPr>
        <w:t>Multimodal Forecasting of Brent Crude Oil: Daily Inputs for Next-Week Return Direction and Realised Volatility</w:t>
      </w:r>
    </w:p>
    <w:p w14:paraId="51F1CC0F" w14:textId="76439D0E" w:rsidR="00D3324D" w:rsidRDefault="002152AF" w:rsidP="004F67A9">
      <w:pPr>
        <w:pStyle w:val="1"/>
        <w:spacing w:before="0" w:after="0"/>
      </w:pPr>
      <w:r w:rsidRPr="002152AF">
        <w:t>1. Introductio</w:t>
      </w:r>
      <w:r>
        <w:rPr>
          <w:rFonts w:hint="eastAsia"/>
        </w:rPr>
        <w:t>n</w:t>
      </w:r>
    </w:p>
    <w:p w14:paraId="60115E8E" w14:textId="13F4076D" w:rsidR="002152AF" w:rsidRDefault="002152AF" w:rsidP="004F67A9">
      <w:pPr>
        <w:pStyle w:val="2"/>
        <w:spacing w:before="0" w:after="0"/>
      </w:pPr>
      <w:r w:rsidRPr="002152AF">
        <w:t xml:space="preserve">1.1 </w:t>
      </w:r>
      <w:r w:rsidR="00D6211F" w:rsidRPr="00D6211F">
        <w:t>Brent crude oil market and research context</w:t>
      </w:r>
    </w:p>
    <w:p w14:paraId="3C7A4639" w14:textId="77777777" w:rsidR="00D6211F" w:rsidRDefault="00D6211F" w:rsidP="00D6211F">
      <w:pPr>
        <w:pStyle w:val="af"/>
        <w:spacing w:before="0" w:beforeAutospacing="0" w:afterLines="50" w:after="120" w:afterAutospacing="0"/>
        <w:jc w:val="both"/>
        <w:rPr>
          <w:lang w:eastAsia="zh-CN"/>
        </w:rPr>
      </w:pPr>
      <w:r>
        <w:rPr>
          <w:lang w:eastAsia="zh-CN"/>
        </w:rPr>
        <w:t>Brent crude oil is one of the main benchmark commodities in the global economy. Movements in Brent prices affect inflation, transport costs, industrial production, and the performance of energy-related financial assets. Brent prices are also shaped by more than one type of force. They reflect supply conditions, storage dynamics, transport frictions, refinery activity, geopolitical events, and shifts in market expectations. Traditional forecasting approaches usually rely on historical prices, macroeconomic variables, or textual information. By contrast, physical-world signals related to production, logistics, and processing are much less often incorporated into forecasting models.</w:t>
      </w:r>
    </w:p>
    <w:p w14:paraId="069B573E" w14:textId="39E4D5D8" w:rsidR="00031A0D" w:rsidRDefault="00D6211F" w:rsidP="00D6211F">
      <w:pPr>
        <w:pStyle w:val="af"/>
        <w:spacing w:before="0" w:beforeAutospacing="0" w:afterLines="50" w:after="120" w:afterAutospacing="0"/>
        <w:jc w:val="both"/>
        <w:rPr>
          <w:lang w:eastAsia="zh-CN"/>
        </w:rPr>
      </w:pPr>
      <w:r>
        <w:rPr>
          <w:lang w:eastAsia="zh-CN"/>
        </w:rPr>
        <w:t>This study examines whether multimodal data can improve Brent crude oil forecasting. Instead of treating Brent purely as a univariate financial time series, it views Brent as the outcome of a broader and spatially connected system linking production regions, export terminals, shipping routes, storage facilities, refining centres, and end-use markets. The study keeps daily granularity in the input data, while defining the prediction target at the level of the next complete week. Specifically, it uses daily multimodal signals to predict the direction of Brent’s cumulative return and its realised volatility over the following week.</w:t>
      </w:r>
    </w:p>
    <w:p w14:paraId="59F52328" w14:textId="23876234" w:rsidR="002152AF" w:rsidRPr="002152AF" w:rsidRDefault="002152AF" w:rsidP="00D6211F">
      <w:pPr>
        <w:pStyle w:val="af"/>
        <w:spacing w:before="0" w:beforeAutospacing="0" w:afterLines="50" w:after="120" w:afterAutospacing="0"/>
        <w:jc w:val="both"/>
      </w:pPr>
      <w:r w:rsidRPr="002152AF">
        <w:t>1.</w:t>
      </w:r>
      <w:r>
        <w:rPr>
          <w:rFonts w:hint="eastAsia"/>
        </w:rPr>
        <w:t>2</w:t>
      </w:r>
      <w:r w:rsidRPr="002152AF">
        <w:t xml:space="preserve"> Research aim and objectives</w:t>
      </w:r>
    </w:p>
    <w:p w14:paraId="4661315B" w14:textId="0D0E0B97" w:rsidR="00D6211F" w:rsidRDefault="00D6211F" w:rsidP="00D6211F">
      <w:pPr>
        <w:pStyle w:val="af"/>
        <w:spacing w:before="0" w:beforeAutospacing="0" w:afterLines="50" w:after="120" w:afterAutospacing="0"/>
        <w:jc w:val="both"/>
        <w:rPr>
          <w:lang w:eastAsia="zh-CN"/>
        </w:rPr>
      </w:pPr>
      <w:r>
        <w:rPr>
          <w:lang w:eastAsia="zh-CN"/>
        </w:rPr>
        <w:t>The overall aim of this research is to test whether multimodal physical-world, textual, and market signals can improve Brent crude oil forecasting over a one-week horizon, and to explore how these effects may be transmitted.</w:t>
      </w:r>
    </w:p>
    <w:p w14:paraId="0F148953" w14:textId="77777777" w:rsidR="002152AF" w:rsidRDefault="002152AF" w:rsidP="00F823F8">
      <w:pPr>
        <w:pStyle w:val="af"/>
        <w:spacing w:before="0" w:beforeAutospacing="0" w:afterLines="50" w:after="120" w:afterAutospacing="0"/>
        <w:jc w:val="both"/>
        <w:rPr>
          <w:lang w:eastAsia="zh-CN"/>
        </w:rPr>
      </w:pPr>
      <w:r>
        <w:rPr>
          <w:lang w:eastAsia="zh-CN"/>
        </w:rPr>
        <w:t>The specific objectives are:</w:t>
      </w:r>
    </w:p>
    <w:p w14:paraId="7B437637" w14:textId="77777777" w:rsidR="00D6211F" w:rsidRPr="00D6211F" w:rsidRDefault="00D6211F" w:rsidP="00D6211F">
      <w:pPr>
        <w:pStyle w:val="af"/>
        <w:numPr>
          <w:ilvl w:val="0"/>
          <w:numId w:val="44"/>
        </w:numPr>
        <w:spacing w:before="0" w:beforeAutospacing="0" w:afterLines="50" w:after="120" w:afterAutospacing="0"/>
        <w:jc w:val="both"/>
      </w:pPr>
      <w:r w:rsidRPr="00D6211F">
        <w:t xml:space="preserve">Forecast the next complete week’s cumulative return direction and </w:t>
      </w:r>
      <w:proofErr w:type="spellStart"/>
      <w:r w:rsidRPr="00D6211F">
        <w:t>realised</w:t>
      </w:r>
      <w:proofErr w:type="spellEnd"/>
      <w:r w:rsidRPr="00D6211F">
        <w:t xml:space="preserve"> volatility of Brent crude oil using daily multimodal inputs. </w:t>
      </w:r>
    </w:p>
    <w:p w14:paraId="661B0434" w14:textId="77777777" w:rsidR="00D6211F" w:rsidRPr="00D6211F" w:rsidRDefault="00D6211F" w:rsidP="00D6211F">
      <w:pPr>
        <w:pStyle w:val="af"/>
        <w:numPr>
          <w:ilvl w:val="0"/>
          <w:numId w:val="44"/>
        </w:numPr>
        <w:spacing w:before="0" w:beforeAutospacing="0" w:afterLines="50" w:after="120" w:afterAutospacing="0"/>
        <w:jc w:val="both"/>
      </w:pPr>
      <w:r w:rsidRPr="00D6211F">
        <w:t xml:space="preserve">Examine whether visual and spatial indicators, such as tanker density, port congestion, storage-site activity, and refinery-related night-time lights, improve predictive performance beyond conventional market variables. </w:t>
      </w:r>
    </w:p>
    <w:p w14:paraId="357D3235" w14:textId="77777777" w:rsidR="00D6211F" w:rsidRPr="00D6211F" w:rsidRDefault="00D6211F" w:rsidP="00D6211F">
      <w:pPr>
        <w:pStyle w:val="af"/>
        <w:numPr>
          <w:ilvl w:val="0"/>
          <w:numId w:val="44"/>
        </w:numPr>
        <w:spacing w:before="0" w:beforeAutospacing="0" w:afterLines="50" w:after="120" w:afterAutospacing="0"/>
        <w:jc w:val="both"/>
      </w:pPr>
      <w:r w:rsidRPr="00D6211F">
        <w:t xml:space="preserve">Assess whether text-derived event signals from reports, announcements, and geopolitical news add forecasting value for next-week Brent returns and volatility. </w:t>
      </w:r>
    </w:p>
    <w:p w14:paraId="1EFBE3A3" w14:textId="77777777" w:rsidR="00D6211F" w:rsidRPr="00D6211F" w:rsidRDefault="00D6211F" w:rsidP="00D6211F">
      <w:pPr>
        <w:pStyle w:val="af"/>
        <w:numPr>
          <w:ilvl w:val="0"/>
          <w:numId w:val="44"/>
        </w:numPr>
        <w:spacing w:before="0" w:beforeAutospacing="0" w:afterLines="50" w:after="120" w:afterAutospacing="0"/>
        <w:jc w:val="both"/>
      </w:pPr>
      <w:r w:rsidRPr="00D6211F">
        <w:t xml:space="preserve">Investigate whether graph-based modelling of the oil supply chain and structure-informed economic constraints make the forecasting framework more coherent and easier to interpret. </w:t>
      </w:r>
    </w:p>
    <w:p w14:paraId="6A4AEA6F" w14:textId="5EACEB06" w:rsidR="002152AF" w:rsidRDefault="002152AF" w:rsidP="004F67A9">
      <w:pPr>
        <w:pStyle w:val="1"/>
        <w:spacing w:before="0" w:after="0"/>
      </w:pPr>
      <w:r>
        <w:rPr>
          <w:rFonts w:hint="eastAsia"/>
        </w:rPr>
        <w:lastRenderedPageBreak/>
        <w:t xml:space="preserve">2. </w:t>
      </w:r>
      <w:r w:rsidRPr="002152AF">
        <w:t>Preliminary Literature Review</w:t>
      </w:r>
    </w:p>
    <w:p w14:paraId="38AA2EBE" w14:textId="08866614" w:rsidR="002152AF" w:rsidRDefault="002152AF" w:rsidP="002152AF">
      <w:pPr>
        <w:pStyle w:val="2"/>
        <w:spacing w:before="0" w:after="0"/>
      </w:pPr>
      <w:r>
        <w:rPr>
          <w:rFonts w:hint="eastAsia"/>
        </w:rPr>
        <w:t>2</w:t>
      </w:r>
      <w:r w:rsidRPr="002152AF">
        <w:t>.</w:t>
      </w:r>
      <w:r w:rsidR="00846EBC">
        <w:rPr>
          <w:rFonts w:hint="eastAsia"/>
          <w:lang w:eastAsia="zh-CN"/>
        </w:rPr>
        <w:t>1</w:t>
      </w:r>
      <w:r>
        <w:t xml:space="preserve"> </w:t>
      </w:r>
      <w:r w:rsidR="00D6211F" w:rsidRPr="00D6211F">
        <w:t>Physical-world and supply-chain drivers of crude oil prices</w:t>
      </w:r>
    </w:p>
    <w:p w14:paraId="7A2F8FD9" w14:textId="119974BE" w:rsidR="00D6211F" w:rsidRPr="00F75F40" w:rsidRDefault="00D6211F" w:rsidP="00F75F40">
      <w:pPr>
        <w:pStyle w:val="af"/>
        <w:spacing w:before="0" w:beforeAutospacing="0" w:afterLines="50" w:after="120" w:afterAutospacing="0"/>
        <w:jc w:val="both"/>
        <w:rPr>
          <w:rFonts w:hint="eastAsia"/>
          <w:lang w:eastAsia="zh-CN"/>
        </w:rPr>
      </w:pPr>
      <w:r w:rsidRPr="00D6211F">
        <w:rPr>
          <w:lang w:eastAsia="zh-CN"/>
        </w:rPr>
        <w:t>A large body of research has studied crude oil price forecasting using time-series, econometric, and machine-learning methods. However, Brent price formation is also closely linked to physical and logistical conditions across the global oil system. Transport bottlenecks, shipping intensity, storage utilisation, refinery activity, and disruptions at major maritime chokepoints can all affect market expectations and realised price movements. Remote sensing and related visual data are therefore useful as proxies for variables that are otherwise difficult to observe, such as short-term operational intensity, logistical frictions, or inventory pressure.</w:t>
      </w:r>
    </w:p>
    <w:p w14:paraId="055F9836" w14:textId="78658147" w:rsidR="002152AF" w:rsidRDefault="002152AF" w:rsidP="002152AF">
      <w:pPr>
        <w:pStyle w:val="2"/>
        <w:spacing w:before="0" w:after="0"/>
      </w:pPr>
      <w:r>
        <w:rPr>
          <w:rFonts w:hint="eastAsia"/>
        </w:rPr>
        <w:t>2</w:t>
      </w:r>
      <w:r w:rsidRPr="002152AF">
        <w:t>.</w:t>
      </w:r>
      <w:r w:rsidR="00846EBC">
        <w:rPr>
          <w:rFonts w:hint="eastAsia"/>
          <w:lang w:eastAsia="zh-CN"/>
        </w:rPr>
        <w:t>2</w:t>
      </w:r>
      <w:r w:rsidRPr="002152AF">
        <w:t xml:space="preserve"> </w:t>
      </w:r>
      <w:r w:rsidR="00D6211F" w:rsidRPr="00D6211F">
        <w:t>Textual signals, financial dynamics, and market expectations</w:t>
      </w:r>
    </w:p>
    <w:p w14:paraId="52844745" w14:textId="58A7178E" w:rsidR="00D6211F" w:rsidRPr="00813666" w:rsidRDefault="00D6211F" w:rsidP="00647489">
      <w:pPr>
        <w:pStyle w:val="af"/>
        <w:spacing w:before="0" w:beforeAutospacing="0" w:afterLines="50" w:after="120" w:afterAutospacing="0"/>
        <w:jc w:val="both"/>
        <w:rPr>
          <w:rFonts w:hint="eastAsia"/>
          <w:lang w:eastAsia="zh-CN"/>
        </w:rPr>
      </w:pPr>
      <w:r w:rsidRPr="00D6211F">
        <w:rPr>
          <w:lang w:eastAsia="zh-CN"/>
        </w:rPr>
        <w:t>Another strand of the literature highlights the importance of non-visual drivers, including OPEC announcements, official oil-market reports, geopolitical shocks, sanctions, and changes in financial sentiment. These factors may affect Brent directly, and they may also reshape expectations about future supply, demand, and risk premia. Existing research therefore suggests that visual indicators alone are unlikely to be enough. A stronger approach is to combine text-derived event signals, market variables, and physical-world indicators within a single multimodal forecasting design.</w:t>
      </w:r>
    </w:p>
    <w:p w14:paraId="433C11DD" w14:textId="02EA13B4" w:rsidR="00647489" w:rsidRDefault="00647489" w:rsidP="00647489">
      <w:pPr>
        <w:pStyle w:val="2"/>
        <w:spacing w:before="0" w:after="0"/>
      </w:pPr>
      <w:r>
        <w:rPr>
          <w:rFonts w:hint="eastAsia"/>
        </w:rPr>
        <w:t>2</w:t>
      </w:r>
      <w:r w:rsidRPr="002152AF">
        <w:t>.</w:t>
      </w:r>
      <w:r>
        <w:rPr>
          <w:rFonts w:hint="eastAsia"/>
          <w:lang w:eastAsia="zh-CN"/>
        </w:rPr>
        <w:t>3</w:t>
      </w:r>
      <w:r w:rsidR="00D6211F" w:rsidRPr="00D6211F">
        <w:t xml:space="preserve"> Preliminary research gap</w:t>
      </w:r>
    </w:p>
    <w:p w14:paraId="2EFE405A" w14:textId="793F0D8F" w:rsidR="00D6211F" w:rsidRPr="00D6211F" w:rsidRDefault="00D6211F" w:rsidP="00813666">
      <w:pPr>
        <w:pStyle w:val="af"/>
        <w:spacing w:before="0" w:beforeAutospacing="0" w:afterLines="50" w:after="120" w:afterAutospacing="0"/>
        <w:jc w:val="both"/>
        <w:rPr>
          <w:rFonts w:hint="eastAsia"/>
          <w:lang w:eastAsia="zh-CN"/>
        </w:rPr>
      </w:pPr>
      <w:r w:rsidRPr="00D6211F">
        <w:rPr>
          <w:lang w:eastAsia="zh-CN"/>
        </w:rPr>
        <w:t xml:space="preserve">The main gap is the limited integration of four elements within one empirical framework: daily multimodal supply-chain indicators, text-derived event signals, graph-based representations of the oil system, and structure-informed economic constraints. Existing studies often focus on only one or two of these </w:t>
      </w:r>
      <w:proofErr w:type="gramStart"/>
      <w:r w:rsidRPr="00D6211F">
        <w:rPr>
          <w:lang w:eastAsia="zh-CN"/>
        </w:rPr>
        <w:t>components, or</w:t>
      </w:r>
      <w:proofErr w:type="gramEnd"/>
      <w:r w:rsidRPr="00D6211F">
        <w:rPr>
          <w:lang w:eastAsia="zh-CN"/>
        </w:rPr>
        <w:t xml:space="preserve"> treat crude oil forecasting mainly as a pointwise financial time-series problem. There also appears to be less work that combines daily input features with a weekly financial prediction target, even though this design may better reflect the way logistics, infrastructure, and event-related information feed into Brent returns and volatility over time.</w:t>
      </w:r>
    </w:p>
    <w:p w14:paraId="097A7CA0" w14:textId="103EAC63" w:rsidR="002152AF" w:rsidRDefault="002152AF" w:rsidP="004F67A9">
      <w:pPr>
        <w:pStyle w:val="1"/>
        <w:spacing w:before="0" w:after="0"/>
        <w:rPr>
          <w:lang w:eastAsia="zh-CN"/>
        </w:rPr>
      </w:pPr>
      <w:r>
        <w:rPr>
          <w:rFonts w:hint="eastAsia"/>
        </w:rPr>
        <w:t>3</w:t>
      </w:r>
      <w:r w:rsidRPr="002152AF">
        <w:t>. Methodology</w:t>
      </w:r>
    </w:p>
    <w:p w14:paraId="49FF2ED2" w14:textId="39D0B432" w:rsidR="002152AF" w:rsidRPr="002152AF" w:rsidRDefault="002152AF" w:rsidP="004F67A9">
      <w:pPr>
        <w:pStyle w:val="2"/>
        <w:spacing w:before="0" w:after="0"/>
      </w:pPr>
      <w:r>
        <w:rPr>
          <w:rFonts w:hint="eastAsia"/>
        </w:rPr>
        <w:t>3</w:t>
      </w:r>
      <w:r w:rsidRPr="002152AF">
        <w:t>.</w:t>
      </w:r>
      <w:r>
        <w:rPr>
          <w:rFonts w:hint="eastAsia"/>
        </w:rPr>
        <w:t>1</w:t>
      </w:r>
      <w:r w:rsidRPr="002152AF">
        <w:t xml:space="preserve"> Datasets</w:t>
      </w:r>
    </w:p>
    <w:p w14:paraId="674DCB3B" w14:textId="77777777" w:rsidR="00D6211F" w:rsidRPr="00EB5753" w:rsidRDefault="00D6211F" w:rsidP="00D6211F">
      <w:pPr>
        <w:spacing w:before="100" w:beforeAutospacing="1" w:after="100" w:afterAutospacing="1"/>
        <w:rPr>
          <w:rFonts w:ascii="Times New Roman" w:hAnsi="Times New Roman" w:cs="Times New Roman"/>
          <w:szCs w:val="24"/>
          <w:lang w:eastAsia="zh-CN"/>
        </w:rPr>
      </w:pPr>
      <w:r w:rsidRPr="00EB5753">
        <w:rPr>
          <w:rFonts w:ascii="Times New Roman" w:hAnsi="Times New Roman" w:cs="Times New Roman"/>
          <w:szCs w:val="24"/>
          <w:lang w:eastAsia="zh-CN"/>
        </w:rPr>
        <w:t>Main outcome targets</w:t>
      </w:r>
    </w:p>
    <w:p w14:paraId="2E7A869A" w14:textId="77777777" w:rsidR="00D6211F" w:rsidRPr="00EB5753" w:rsidRDefault="00D6211F" w:rsidP="00D6211F">
      <w:pPr>
        <w:numPr>
          <w:ilvl w:val="0"/>
          <w:numId w:val="45"/>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100" w:beforeAutospacing="1" w:after="100" w:afterAutospacing="1" w:line="240" w:lineRule="auto"/>
        <w:rPr>
          <w:rFonts w:ascii="Times New Roman" w:hAnsi="Times New Roman" w:cs="Times New Roman"/>
          <w:szCs w:val="24"/>
          <w:lang w:eastAsia="zh-CN"/>
        </w:rPr>
      </w:pPr>
      <w:r w:rsidRPr="00EB5753">
        <w:rPr>
          <w:rFonts w:ascii="Times New Roman" w:hAnsi="Times New Roman" w:cs="Times New Roman"/>
          <w:szCs w:val="24"/>
          <w:lang w:eastAsia="zh-CN"/>
        </w:rPr>
        <w:t xml:space="preserve">Brent crude oil next-week cumulative return direction </w:t>
      </w:r>
    </w:p>
    <w:p w14:paraId="2D8A9890" w14:textId="77777777" w:rsidR="00D6211F" w:rsidRPr="00EB5753" w:rsidRDefault="00D6211F" w:rsidP="00D6211F">
      <w:pPr>
        <w:numPr>
          <w:ilvl w:val="0"/>
          <w:numId w:val="45"/>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100" w:beforeAutospacing="1" w:after="100" w:afterAutospacing="1" w:line="240" w:lineRule="auto"/>
        <w:rPr>
          <w:rFonts w:ascii="Times New Roman" w:hAnsi="Times New Roman" w:cs="Times New Roman"/>
          <w:szCs w:val="24"/>
          <w:lang w:eastAsia="zh-CN"/>
        </w:rPr>
      </w:pPr>
      <w:r w:rsidRPr="00EB5753">
        <w:rPr>
          <w:rFonts w:ascii="Times New Roman" w:hAnsi="Times New Roman" w:cs="Times New Roman"/>
          <w:szCs w:val="24"/>
          <w:lang w:eastAsia="zh-CN"/>
        </w:rPr>
        <w:t xml:space="preserve">Brent crude oil next-week realised volatility </w:t>
      </w:r>
    </w:p>
    <w:p w14:paraId="390BA541" w14:textId="77777777" w:rsidR="00D6211F" w:rsidRPr="00EB5753" w:rsidRDefault="00D6211F" w:rsidP="00D6211F">
      <w:pPr>
        <w:spacing w:before="100" w:beforeAutospacing="1" w:after="100" w:afterAutospacing="1"/>
        <w:rPr>
          <w:rFonts w:ascii="Times New Roman" w:hAnsi="Times New Roman" w:cs="Times New Roman"/>
          <w:szCs w:val="24"/>
          <w:lang w:eastAsia="zh-CN"/>
        </w:rPr>
      </w:pPr>
      <w:r w:rsidRPr="00EB5753">
        <w:rPr>
          <w:rFonts w:ascii="Times New Roman" w:hAnsi="Times New Roman" w:cs="Times New Roman"/>
          <w:szCs w:val="24"/>
          <w:lang w:eastAsia="zh-CN"/>
        </w:rPr>
        <w:t>Market and financial data</w:t>
      </w:r>
    </w:p>
    <w:p w14:paraId="0ECF7965" w14:textId="77777777" w:rsidR="00D6211F" w:rsidRPr="00EB5753" w:rsidRDefault="00D6211F" w:rsidP="00D6211F">
      <w:pPr>
        <w:numPr>
          <w:ilvl w:val="0"/>
          <w:numId w:val="46"/>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100" w:beforeAutospacing="1" w:after="100" w:afterAutospacing="1" w:line="240" w:lineRule="auto"/>
        <w:rPr>
          <w:rFonts w:ascii="Times New Roman" w:hAnsi="Times New Roman" w:cs="Times New Roman"/>
          <w:szCs w:val="24"/>
          <w:lang w:eastAsia="zh-CN"/>
        </w:rPr>
      </w:pPr>
      <w:r w:rsidRPr="00EB5753">
        <w:rPr>
          <w:rFonts w:ascii="Times New Roman" w:hAnsi="Times New Roman" w:cs="Times New Roman"/>
          <w:szCs w:val="24"/>
          <w:lang w:eastAsia="zh-CN"/>
        </w:rPr>
        <w:t xml:space="preserve">Brent crude oil prices and returns </w:t>
      </w:r>
    </w:p>
    <w:p w14:paraId="4870D5CF" w14:textId="77777777" w:rsidR="00D6211F" w:rsidRPr="00EB5753" w:rsidRDefault="00D6211F" w:rsidP="00D6211F">
      <w:pPr>
        <w:numPr>
          <w:ilvl w:val="0"/>
          <w:numId w:val="46"/>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100" w:beforeAutospacing="1" w:after="100" w:afterAutospacing="1" w:line="240" w:lineRule="auto"/>
        <w:rPr>
          <w:rFonts w:ascii="Times New Roman" w:hAnsi="Times New Roman" w:cs="Times New Roman"/>
          <w:szCs w:val="24"/>
          <w:lang w:eastAsia="zh-CN"/>
        </w:rPr>
      </w:pPr>
      <w:r w:rsidRPr="00EB5753">
        <w:rPr>
          <w:rFonts w:ascii="Times New Roman" w:hAnsi="Times New Roman" w:cs="Times New Roman"/>
          <w:szCs w:val="24"/>
          <w:lang w:eastAsia="zh-CN"/>
        </w:rPr>
        <w:t xml:space="preserve">Historical volatility measures and rolling statistics </w:t>
      </w:r>
    </w:p>
    <w:p w14:paraId="2BC72FEE" w14:textId="77777777" w:rsidR="00D6211F" w:rsidRPr="00EB5753" w:rsidRDefault="00D6211F" w:rsidP="00D6211F">
      <w:pPr>
        <w:numPr>
          <w:ilvl w:val="0"/>
          <w:numId w:val="46"/>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100" w:beforeAutospacing="1" w:after="100" w:afterAutospacing="1" w:line="240" w:lineRule="auto"/>
        <w:rPr>
          <w:rFonts w:ascii="Times New Roman" w:hAnsi="Times New Roman" w:cs="Times New Roman"/>
          <w:szCs w:val="24"/>
          <w:lang w:eastAsia="zh-CN"/>
        </w:rPr>
      </w:pPr>
      <w:r w:rsidRPr="00EB5753">
        <w:rPr>
          <w:rFonts w:ascii="Times New Roman" w:hAnsi="Times New Roman" w:cs="Times New Roman"/>
          <w:szCs w:val="24"/>
          <w:lang w:eastAsia="zh-CN"/>
        </w:rPr>
        <w:t xml:space="preserve">Futures-related variables where relevant </w:t>
      </w:r>
    </w:p>
    <w:p w14:paraId="13868D1D" w14:textId="77777777" w:rsidR="00D6211F" w:rsidRPr="00EB5753" w:rsidRDefault="00D6211F" w:rsidP="00D6211F">
      <w:pPr>
        <w:numPr>
          <w:ilvl w:val="0"/>
          <w:numId w:val="46"/>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100" w:beforeAutospacing="1" w:after="100" w:afterAutospacing="1" w:line="240" w:lineRule="auto"/>
        <w:rPr>
          <w:rFonts w:ascii="Times New Roman" w:hAnsi="Times New Roman" w:cs="Times New Roman"/>
          <w:szCs w:val="24"/>
          <w:lang w:eastAsia="zh-CN"/>
        </w:rPr>
      </w:pPr>
      <w:r w:rsidRPr="00EB5753">
        <w:rPr>
          <w:rFonts w:ascii="Times New Roman" w:hAnsi="Times New Roman" w:cs="Times New Roman"/>
          <w:szCs w:val="24"/>
          <w:lang w:eastAsia="zh-CN"/>
        </w:rPr>
        <w:t xml:space="preserve">Spread or term-structure variables where available </w:t>
      </w:r>
    </w:p>
    <w:p w14:paraId="2BE0483C" w14:textId="77777777" w:rsidR="00D6211F" w:rsidRPr="00EB5753" w:rsidRDefault="00D6211F" w:rsidP="00D6211F">
      <w:pPr>
        <w:numPr>
          <w:ilvl w:val="0"/>
          <w:numId w:val="46"/>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100" w:beforeAutospacing="1" w:after="100" w:afterAutospacing="1" w:line="240" w:lineRule="auto"/>
        <w:rPr>
          <w:rFonts w:ascii="Times New Roman" w:hAnsi="Times New Roman" w:cs="Times New Roman"/>
          <w:szCs w:val="24"/>
          <w:lang w:eastAsia="zh-CN"/>
        </w:rPr>
      </w:pPr>
      <w:r w:rsidRPr="00EB5753">
        <w:rPr>
          <w:rFonts w:ascii="Times New Roman" w:hAnsi="Times New Roman" w:cs="Times New Roman"/>
          <w:szCs w:val="24"/>
          <w:lang w:eastAsia="zh-CN"/>
        </w:rPr>
        <w:t xml:space="preserve">Calendar variables such as day-of-week and month indicators </w:t>
      </w:r>
    </w:p>
    <w:p w14:paraId="563FF033" w14:textId="77777777" w:rsidR="00D6211F" w:rsidRPr="00EB5753" w:rsidRDefault="00D6211F" w:rsidP="00D6211F">
      <w:pPr>
        <w:spacing w:before="100" w:beforeAutospacing="1" w:after="100" w:afterAutospacing="1"/>
        <w:rPr>
          <w:rFonts w:ascii="Times New Roman" w:hAnsi="Times New Roman" w:cs="Times New Roman"/>
          <w:szCs w:val="24"/>
          <w:lang w:eastAsia="zh-CN"/>
        </w:rPr>
      </w:pPr>
      <w:r w:rsidRPr="00EB5753">
        <w:rPr>
          <w:rFonts w:ascii="Times New Roman" w:hAnsi="Times New Roman" w:cs="Times New Roman"/>
          <w:szCs w:val="24"/>
          <w:lang w:eastAsia="zh-CN"/>
        </w:rPr>
        <w:lastRenderedPageBreak/>
        <w:t>Visual / spatial data</w:t>
      </w:r>
    </w:p>
    <w:p w14:paraId="6DEEBC86" w14:textId="77777777" w:rsidR="00D6211F" w:rsidRPr="00EB5753" w:rsidRDefault="00D6211F" w:rsidP="00D6211F">
      <w:pPr>
        <w:numPr>
          <w:ilvl w:val="0"/>
          <w:numId w:val="47"/>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100" w:beforeAutospacing="1" w:after="100" w:afterAutospacing="1" w:line="240" w:lineRule="auto"/>
        <w:rPr>
          <w:rFonts w:ascii="Times New Roman" w:hAnsi="Times New Roman" w:cs="Times New Roman"/>
          <w:szCs w:val="24"/>
          <w:lang w:eastAsia="zh-CN"/>
        </w:rPr>
      </w:pPr>
      <w:r w:rsidRPr="00EB5753">
        <w:rPr>
          <w:rFonts w:ascii="Times New Roman" w:hAnsi="Times New Roman" w:cs="Times New Roman"/>
          <w:szCs w:val="24"/>
          <w:lang w:eastAsia="zh-CN"/>
        </w:rPr>
        <w:t xml:space="preserve">Satellite or imagery-based observations of selected ports, storage areas, and refinery locations </w:t>
      </w:r>
    </w:p>
    <w:p w14:paraId="7AC36560" w14:textId="77777777" w:rsidR="00D6211F" w:rsidRPr="00EB5753" w:rsidRDefault="00D6211F" w:rsidP="00D6211F">
      <w:pPr>
        <w:numPr>
          <w:ilvl w:val="0"/>
          <w:numId w:val="47"/>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100" w:beforeAutospacing="1" w:after="100" w:afterAutospacing="1" w:line="240" w:lineRule="auto"/>
        <w:rPr>
          <w:rFonts w:ascii="Times New Roman" w:hAnsi="Times New Roman" w:cs="Times New Roman"/>
          <w:szCs w:val="24"/>
          <w:lang w:eastAsia="zh-CN"/>
        </w:rPr>
      </w:pPr>
      <w:r w:rsidRPr="00EB5753">
        <w:rPr>
          <w:rFonts w:ascii="Times New Roman" w:hAnsi="Times New Roman" w:cs="Times New Roman"/>
          <w:szCs w:val="24"/>
          <w:lang w:eastAsia="zh-CN"/>
        </w:rPr>
        <w:t xml:space="preserve">Night-time lights for refinery or industrial activity, </w:t>
      </w:r>
      <w:proofErr w:type="gramStart"/>
      <w:r w:rsidRPr="00EB5753">
        <w:rPr>
          <w:rFonts w:ascii="Times New Roman" w:hAnsi="Times New Roman" w:cs="Times New Roman"/>
          <w:szCs w:val="24"/>
          <w:lang w:eastAsia="zh-CN"/>
        </w:rPr>
        <w:t>where</w:t>
      </w:r>
      <w:proofErr w:type="gramEnd"/>
      <w:r w:rsidRPr="00EB5753">
        <w:rPr>
          <w:rFonts w:ascii="Times New Roman" w:hAnsi="Times New Roman" w:cs="Times New Roman"/>
          <w:szCs w:val="24"/>
          <w:lang w:eastAsia="zh-CN"/>
        </w:rPr>
        <w:t xml:space="preserve"> useful </w:t>
      </w:r>
    </w:p>
    <w:p w14:paraId="35150817" w14:textId="77777777" w:rsidR="00D6211F" w:rsidRPr="00EB5753" w:rsidRDefault="00D6211F" w:rsidP="00D6211F">
      <w:pPr>
        <w:numPr>
          <w:ilvl w:val="0"/>
          <w:numId w:val="47"/>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100" w:beforeAutospacing="1" w:after="100" w:afterAutospacing="1" w:line="240" w:lineRule="auto"/>
        <w:rPr>
          <w:rFonts w:ascii="Times New Roman" w:hAnsi="Times New Roman" w:cs="Times New Roman"/>
          <w:szCs w:val="24"/>
          <w:lang w:eastAsia="zh-CN"/>
        </w:rPr>
      </w:pPr>
      <w:r w:rsidRPr="00EB5753">
        <w:rPr>
          <w:rFonts w:ascii="Times New Roman" w:hAnsi="Times New Roman" w:cs="Times New Roman"/>
          <w:szCs w:val="24"/>
          <w:lang w:eastAsia="zh-CN"/>
        </w:rPr>
        <w:t xml:space="preserve">Shipping- or port-related spatial activity indicators </w:t>
      </w:r>
    </w:p>
    <w:p w14:paraId="02E429B5" w14:textId="77777777" w:rsidR="00D6211F" w:rsidRPr="00EB5753" w:rsidRDefault="00D6211F" w:rsidP="00D6211F">
      <w:pPr>
        <w:numPr>
          <w:ilvl w:val="0"/>
          <w:numId w:val="47"/>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100" w:beforeAutospacing="1" w:after="100" w:afterAutospacing="1" w:line="240" w:lineRule="auto"/>
        <w:rPr>
          <w:rFonts w:ascii="Times New Roman" w:hAnsi="Times New Roman" w:cs="Times New Roman"/>
          <w:szCs w:val="24"/>
          <w:lang w:eastAsia="zh-CN"/>
        </w:rPr>
      </w:pPr>
      <w:r w:rsidRPr="00EB5753">
        <w:rPr>
          <w:rFonts w:ascii="Times New Roman" w:hAnsi="Times New Roman" w:cs="Times New Roman"/>
          <w:szCs w:val="24"/>
          <w:lang w:eastAsia="zh-CN"/>
        </w:rPr>
        <w:t xml:space="preserve">Spatial boundaries and locations of key supply-chain nodes </w:t>
      </w:r>
    </w:p>
    <w:p w14:paraId="0620C5F2" w14:textId="77777777" w:rsidR="00D6211F" w:rsidRPr="00EB5753" w:rsidRDefault="00D6211F" w:rsidP="00D6211F">
      <w:pPr>
        <w:spacing w:before="100" w:beforeAutospacing="1" w:after="100" w:afterAutospacing="1"/>
        <w:rPr>
          <w:rFonts w:ascii="Times New Roman" w:hAnsi="Times New Roman" w:cs="Times New Roman"/>
          <w:szCs w:val="24"/>
          <w:lang w:eastAsia="zh-CN"/>
        </w:rPr>
      </w:pPr>
      <w:r w:rsidRPr="00EB5753">
        <w:rPr>
          <w:rFonts w:ascii="Times New Roman" w:hAnsi="Times New Roman" w:cs="Times New Roman"/>
          <w:szCs w:val="24"/>
          <w:lang w:eastAsia="zh-CN"/>
        </w:rPr>
        <w:t>Text and event data</w:t>
      </w:r>
    </w:p>
    <w:p w14:paraId="32568971" w14:textId="77777777" w:rsidR="00D6211F" w:rsidRPr="00EB5753" w:rsidRDefault="00D6211F" w:rsidP="00D6211F">
      <w:pPr>
        <w:numPr>
          <w:ilvl w:val="0"/>
          <w:numId w:val="48"/>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100" w:beforeAutospacing="1" w:after="100" w:afterAutospacing="1" w:line="240" w:lineRule="auto"/>
        <w:rPr>
          <w:rFonts w:ascii="Times New Roman" w:hAnsi="Times New Roman" w:cs="Times New Roman"/>
          <w:szCs w:val="24"/>
          <w:lang w:eastAsia="zh-CN"/>
        </w:rPr>
      </w:pPr>
      <w:r w:rsidRPr="00EB5753">
        <w:rPr>
          <w:rFonts w:ascii="Times New Roman" w:hAnsi="Times New Roman" w:cs="Times New Roman"/>
          <w:szCs w:val="24"/>
          <w:lang w:eastAsia="zh-CN"/>
        </w:rPr>
        <w:t xml:space="preserve">OPEC and related market reports </w:t>
      </w:r>
    </w:p>
    <w:p w14:paraId="3CE38B30" w14:textId="77777777" w:rsidR="00D6211F" w:rsidRPr="00EB5753" w:rsidRDefault="00D6211F" w:rsidP="00D6211F">
      <w:pPr>
        <w:numPr>
          <w:ilvl w:val="0"/>
          <w:numId w:val="48"/>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100" w:beforeAutospacing="1" w:after="100" w:afterAutospacing="1" w:line="240" w:lineRule="auto"/>
        <w:rPr>
          <w:rFonts w:ascii="Times New Roman" w:hAnsi="Times New Roman" w:cs="Times New Roman"/>
          <w:szCs w:val="24"/>
          <w:lang w:eastAsia="zh-CN"/>
        </w:rPr>
      </w:pPr>
      <w:r w:rsidRPr="00EB5753">
        <w:rPr>
          <w:rFonts w:ascii="Times New Roman" w:hAnsi="Times New Roman" w:cs="Times New Roman"/>
          <w:szCs w:val="24"/>
          <w:lang w:eastAsia="zh-CN"/>
        </w:rPr>
        <w:t xml:space="preserve">Public energy-market commentary where relevant </w:t>
      </w:r>
    </w:p>
    <w:p w14:paraId="005F8C27" w14:textId="77777777" w:rsidR="00D6211F" w:rsidRPr="00EB5753" w:rsidRDefault="00D6211F" w:rsidP="00D6211F">
      <w:pPr>
        <w:numPr>
          <w:ilvl w:val="0"/>
          <w:numId w:val="48"/>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100" w:beforeAutospacing="1" w:after="100" w:afterAutospacing="1" w:line="240" w:lineRule="auto"/>
        <w:rPr>
          <w:rFonts w:ascii="Times New Roman" w:hAnsi="Times New Roman" w:cs="Times New Roman"/>
          <w:szCs w:val="24"/>
          <w:lang w:eastAsia="zh-CN"/>
        </w:rPr>
      </w:pPr>
      <w:r w:rsidRPr="00EB5753">
        <w:rPr>
          <w:rFonts w:ascii="Times New Roman" w:hAnsi="Times New Roman" w:cs="Times New Roman"/>
          <w:szCs w:val="24"/>
          <w:lang w:eastAsia="zh-CN"/>
        </w:rPr>
        <w:t xml:space="preserve">Company announcements for major energy firms </w:t>
      </w:r>
    </w:p>
    <w:p w14:paraId="6C90743B" w14:textId="77777777" w:rsidR="00D6211F" w:rsidRPr="00EB5753" w:rsidRDefault="00D6211F" w:rsidP="00D6211F">
      <w:pPr>
        <w:numPr>
          <w:ilvl w:val="0"/>
          <w:numId w:val="48"/>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100" w:beforeAutospacing="1" w:after="100" w:afterAutospacing="1" w:line="240" w:lineRule="auto"/>
        <w:rPr>
          <w:rFonts w:ascii="Times New Roman" w:hAnsi="Times New Roman" w:cs="Times New Roman"/>
          <w:szCs w:val="24"/>
          <w:lang w:eastAsia="zh-CN"/>
        </w:rPr>
      </w:pPr>
      <w:r w:rsidRPr="00EB5753">
        <w:rPr>
          <w:rFonts w:ascii="Times New Roman" w:hAnsi="Times New Roman" w:cs="Times New Roman"/>
          <w:szCs w:val="24"/>
          <w:lang w:eastAsia="zh-CN"/>
        </w:rPr>
        <w:t xml:space="preserve">News and event data on geopolitical disruptions, sanctions, accidents, and transport-related shocks </w:t>
      </w:r>
    </w:p>
    <w:p w14:paraId="7CC7E0E2" w14:textId="77777777" w:rsidR="00D6211F" w:rsidRPr="00EB5753" w:rsidRDefault="00D6211F" w:rsidP="00D6211F">
      <w:pPr>
        <w:spacing w:before="100" w:beforeAutospacing="1" w:after="100" w:afterAutospacing="1"/>
        <w:rPr>
          <w:rFonts w:ascii="Times New Roman" w:hAnsi="Times New Roman" w:cs="Times New Roman"/>
          <w:szCs w:val="24"/>
          <w:lang w:eastAsia="zh-CN"/>
        </w:rPr>
      </w:pPr>
      <w:r w:rsidRPr="00EB5753">
        <w:rPr>
          <w:rFonts w:ascii="Times New Roman" w:hAnsi="Times New Roman" w:cs="Times New Roman"/>
          <w:szCs w:val="24"/>
          <w:lang w:eastAsia="zh-CN"/>
        </w:rPr>
        <w:t>Auxiliary data</w:t>
      </w:r>
    </w:p>
    <w:p w14:paraId="1B0B4A72" w14:textId="77777777" w:rsidR="00D6211F" w:rsidRPr="00EB5753" w:rsidRDefault="00D6211F" w:rsidP="00D6211F">
      <w:pPr>
        <w:numPr>
          <w:ilvl w:val="0"/>
          <w:numId w:val="49"/>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100" w:beforeAutospacing="1" w:after="100" w:afterAutospacing="1" w:line="240" w:lineRule="auto"/>
        <w:rPr>
          <w:rFonts w:ascii="Times New Roman" w:hAnsi="Times New Roman" w:cs="Times New Roman"/>
          <w:szCs w:val="24"/>
          <w:lang w:eastAsia="zh-CN"/>
        </w:rPr>
      </w:pPr>
      <w:r w:rsidRPr="00EB5753">
        <w:rPr>
          <w:rFonts w:ascii="Times New Roman" w:hAnsi="Times New Roman" w:cs="Times New Roman"/>
          <w:szCs w:val="24"/>
          <w:lang w:eastAsia="zh-CN"/>
        </w:rPr>
        <w:t xml:space="preserve">Weather data where relevant to shipping conditions, refinery disruption, or regional operational stress </w:t>
      </w:r>
    </w:p>
    <w:p w14:paraId="7B6BCB3F" w14:textId="53CA2628" w:rsidR="00D6211F" w:rsidRPr="00D6211F" w:rsidRDefault="00D6211F" w:rsidP="00D6211F">
      <w:pPr>
        <w:numPr>
          <w:ilvl w:val="0"/>
          <w:numId w:val="49"/>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100" w:beforeAutospacing="1" w:after="100" w:afterAutospacing="1" w:line="240" w:lineRule="auto"/>
        <w:rPr>
          <w:rFonts w:ascii="Times New Roman" w:hAnsi="Times New Roman" w:cs="Times New Roman" w:hint="eastAsia"/>
          <w:szCs w:val="24"/>
          <w:lang w:eastAsia="zh-CN"/>
        </w:rPr>
      </w:pPr>
      <w:r w:rsidRPr="00EB5753">
        <w:rPr>
          <w:rFonts w:ascii="Times New Roman" w:hAnsi="Times New Roman" w:cs="Times New Roman"/>
          <w:szCs w:val="24"/>
          <w:lang w:eastAsia="zh-CN"/>
        </w:rPr>
        <w:t xml:space="preserve">Any additional public datasets needed to support supply-chain mapping or temporal alignment </w:t>
      </w:r>
    </w:p>
    <w:p w14:paraId="6EA26B46" w14:textId="6CA4B500" w:rsidR="00D6211F" w:rsidRDefault="004F67A9" w:rsidP="00D6211F">
      <w:pPr>
        <w:pStyle w:val="2"/>
        <w:spacing w:before="0" w:after="0"/>
        <w:rPr>
          <w:rFonts w:hint="eastAsia"/>
          <w:lang w:eastAsia="zh-CN"/>
        </w:rPr>
      </w:pPr>
      <w:r>
        <w:rPr>
          <w:rFonts w:hint="eastAsia"/>
          <w:lang w:eastAsia="zh-CN"/>
        </w:rPr>
        <w:t>3</w:t>
      </w:r>
      <w:r w:rsidRPr="002152AF">
        <w:t>.</w:t>
      </w:r>
      <w:r>
        <w:rPr>
          <w:rFonts w:hint="eastAsia"/>
          <w:lang w:eastAsia="zh-CN"/>
        </w:rPr>
        <w:t>2</w:t>
      </w:r>
      <w:r w:rsidRPr="002152AF">
        <w:t xml:space="preserve"> </w:t>
      </w:r>
      <w:r w:rsidR="00F823F8" w:rsidRPr="007A7E31">
        <w:t>Research</w:t>
      </w:r>
      <w:r w:rsidR="00F823F8" w:rsidRPr="007A7E31">
        <w:rPr>
          <w:rFonts w:hint="eastAsia"/>
        </w:rPr>
        <w:t xml:space="preserve"> </w:t>
      </w:r>
      <w:r w:rsidR="00F823F8" w:rsidRPr="007A7E31">
        <w:t>Objectives</w:t>
      </w:r>
      <w:r w:rsidR="00F823F8" w:rsidRPr="007A7E31">
        <w:rPr>
          <w:rFonts w:hint="eastAsia"/>
        </w:rPr>
        <w:t xml:space="preserve"> and Methodology</w:t>
      </w:r>
    </w:p>
    <w:p w14:paraId="08FB4E4E" w14:textId="77777777" w:rsidR="00D6211F" w:rsidRPr="00EB5753" w:rsidRDefault="00D6211F" w:rsidP="00D6211F">
      <w:pPr>
        <w:pStyle w:val="af"/>
        <w:spacing w:before="0" w:beforeAutospacing="0" w:afterLines="50" w:after="120" w:afterAutospacing="0"/>
        <w:jc w:val="both"/>
      </w:pPr>
      <w:r w:rsidRPr="00EB5753">
        <w:t>This study develops both baseline statistical models and multimodal machine-learning models for Brent crude oil forecasting. The central idea is to treat Brent not simply as a price series, but as the outcome of a supply-chain system in which production, transport, storage, refining, and market expectations interact across space and time. The empirical design keeps daily input features so that short-term information from prices, imagery, shipping activity, and event texts is retained, while the main prediction targets are defined at the level of the next complete week. The model therefore aims to predict the direction of next-week cumulative returns and the realised volatility of Brent over that week.</w:t>
      </w:r>
    </w:p>
    <w:p w14:paraId="2BF7BF35" w14:textId="77777777" w:rsidR="00D6211F" w:rsidRPr="00EB5753" w:rsidRDefault="00D6211F" w:rsidP="00D6211F">
      <w:pPr>
        <w:pStyle w:val="3"/>
        <w:spacing w:before="0" w:after="0"/>
        <w:contextualSpacing/>
      </w:pPr>
      <w:r w:rsidRPr="00EB5753">
        <w:t>Step 1 – Data collection, cleaning, temporal alignment, and sample construction</w:t>
      </w:r>
    </w:p>
    <w:p w14:paraId="5A6F28EC" w14:textId="77777777" w:rsidR="00D6211F" w:rsidRPr="00EB5753" w:rsidRDefault="00D6211F" w:rsidP="00D6211F">
      <w:pPr>
        <w:pStyle w:val="af"/>
        <w:spacing w:before="0" w:beforeAutospacing="0" w:afterLines="50" w:after="120" w:afterAutospacing="0"/>
        <w:jc w:val="both"/>
      </w:pPr>
      <w:r w:rsidRPr="00EB5753">
        <w:t>The study combines several sources of information, including Brent price data, remote-sensing observations, shipping-related indicators, text-based event information, and auxiliary market variables. Missing-value handling, outlier detection, and consistency checks are carried out during preprocessing. Because these sources differ in reporting frequency, coverage, and format, temporal standardisation is needed to align them to a daily analytical frequency. The final empirical sample is then constructed so that daily input variables are used to predict the next complete week’s cumulative return direction and realised volatility. This design keeps higher-frequency information in the inputs while avoiding a purely overlapping rolling-horizon structure.</w:t>
      </w:r>
    </w:p>
    <w:p w14:paraId="7581C950" w14:textId="77777777" w:rsidR="00D6211F" w:rsidRPr="00EB5753" w:rsidRDefault="00D6211F" w:rsidP="00D6211F">
      <w:pPr>
        <w:pStyle w:val="3"/>
        <w:spacing w:before="0" w:after="0"/>
        <w:contextualSpacing/>
      </w:pPr>
      <w:r w:rsidRPr="00EB5753">
        <w:lastRenderedPageBreak/>
        <w:t>Step 2 – Supply-chain node identification and graph construction</w:t>
      </w:r>
    </w:p>
    <w:p w14:paraId="0F14EB44" w14:textId="77777777" w:rsidR="00D6211F" w:rsidRPr="00EB5753" w:rsidRDefault="00D6211F" w:rsidP="00D6211F">
      <w:pPr>
        <w:pStyle w:val="af"/>
        <w:spacing w:before="0" w:beforeAutospacing="0" w:afterLines="50" w:after="120" w:afterAutospacing="0"/>
        <w:jc w:val="both"/>
      </w:pPr>
      <w:r w:rsidRPr="00EB5753">
        <w:t xml:space="preserve">Brent price formation is not only a financial forecasting problem; it is also tied to the physical organisation of the oil supply chain. The analysis therefore identifies the main operational nodes, such as production regions, export terminals, major ports, storage locations, key maritime routes, refinery clusters, and important demand hubs. These entities and their operational links are then used to construct a simplified supply-chain graph. This graph supports later graph-based modelling </w:t>
      </w:r>
      <w:proofErr w:type="gramStart"/>
      <w:r w:rsidRPr="00EB5753">
        <w:t>and also</w:t>
      </w:r>
      <w:proofErr w:type="gramEnd"/>
      <w:r w:rsidRPr="00EB5753">
        <w:t xml:space="preserve"> helps interpretation by separating upstream, midstream, and downstream parts of the oil system.</w:t>
      </w:r>
    </w:p>
    <w:p w14:paraId="30924414" w14:textId="77777777" w:rsidR="00D6211F" w:rsidRPr="00EB5753" w:rsidRDefault="00D6211F" w:rsidP="00D6211F">
      <w:pPr>
        <w:pStyle w:val="3"/>
        <w:spacing w:before="0" w:after="0"/>
        <w:contextualSpacing/>
      </w:pPr>
      <w:r w:rsidRPr="00EB5753">
        <w:t>Step 3 – Proxy construction and daily feature engineering</w:t>
      </w:r>
    </w:p>
    <w:p w14:paraId="764A8BD4" w14:textId="77777777" w:rsidR="00D6211F" w:rsidRPr="00EB5753" w:rsidRDefault="00D6211F" w:rsidP="00D6211F">
      <w:pPr>
        <w:pStyle w:val="af"/>
        <w:spacing w:before="0" w:beforeAutospacing="0" w:afterLines="50" w:after="120" w:afterAutospacing="0"/>
        <w:jc w:val="both"/>
      </w:pPr>
      <w:r w:rsidRPr="00EB5753">
        <w:t xml:space="preserve">A key task is to derive useful proxy variables from multimodal data. Visual and spatial proxies may include tanker density near selected ports, port congestion indicators, storage-site activity, refinery-related night-time lights, and other observable signs of logistical or operational intensity. Alongside these, standard daily market features are constructed, including lagged returns, rolling volatility, momentum-style variables, and calendar effects. Text-derived event variables are also extracted from reports, announcements, and news to capture supply shocks, geopolitical disruptions, and market-relevant uncertainty. The aim at this stage is not simply to generate </w:t>
      </w:r>
      <w:proofErr w:type="gramStart"/>
      <w:r w:rsidRPr="00EB5753">
        <w:t>a large number of</w:t>
      </w:r>
      <w:proofErr w:type="gramEnd"/>
      <w:r w:rsidRPr="00EB5753">
        <w:t xml:space="preserve"> predictors, but to build variables with clearer theoretical meaning that reflect transport frictions, inventory pressure, refinery conditions, or event-driven risk.</w:t>
      </w:r>
    </w:p>
    <w:p w14:paraId="24E338AE" w14:textId="77777777" w:rsidR="00D6211F" w:rsidRPr="00EB5753" w:rsidRDefault="00D6211F" w:rsidP="00D6211F">
      <w:pPr>
        <w:pStyle w:val="3"/>
        <w:spacing w:before="0" w:after="0"/>
        <w:contextualSpacing/>
      </w:pPr>
      <w:r w:rsidRPr="00EB5753">
        <w:t>Step 4 – Exploratory analysis, lead–lag testing, and mechanism diagnostics</w:t>
      </w:r>
    </w:p>
    <w:p w14:paraId="3C023E02" w14:textId="77777777" w:rsidR="00D6211F" w:rsidRPr="00EB5753" w:rsidRDefault="00D6211F" w:rsidP="00D6211F">
      <w:pPr>
        <w:pStyle w:val="af"/>
        <w:spacing w:before="0" w:beforeAutospacing="0" w:afterLines="50" w:after="120" w:afterAutospacing="0"/>
        <w:jc w:val="both"/>
      </w:pPr>
      <w:r w:rsidRPr="00EB5753">
        <w:t>Descriptive statistics, visualisation, and preliminary association analysis are used to examine the structure of the data. The study tests whether the proposed daily multimodal signals show plausible temporal relationships with next-week Brent outcomes, for example whether some variables provide leading information about future return direction or volatility. This step matters because proxy variables are only useful if they capture more than simple correlation. They should also connect to interpretable economic channels. The analysis therefore tries, as far as possible, to distinguish variables linked more closely to supply-side constraints, logistics bottlenecks, refinery utilisation, or event-driven market stress.</w:t>
      </w:r>
    </w:p>
    <w:p w14:paraId="3D11A18D" w14:textId="77777777" w:rsidR="00D6211F" w:rsidRPr="00EB5753" w:rsidRDefault="00D6211F" w:rsidP="00D6211F">
      <w:pPr>
        <w:pStyle w:val="3"/>
        <w:spacing w:before="0" w:after="0"/>
        <w:contextualSpacing/>
      </w:pPr>
      <w:r w:rsidRPr="00EB5753">
        <w:t>Step 5 – Baseline econometric and machine-learning modelling</w:t>
      </w:r>
    </w:p>
    <w:p w14:paraId="686F7B5B" w14:textId="77777777" w:rsidR="00D6211F" w:rsidRPr="00EB5753" w:rsidRDefault="00D6211F" w:rsidP="00D6211F">
      <w:pPr>
        <w:pStyle w:val="af"/>
        <w:spacing w:before="0" w:beforeAutospacing="0" w:afterLines="50" w:after="120" w:afterAutospacing="0"/>
        <w:jc w:val="both"/>
      </w:pPr>
      <w:r w:rsidRPr="00EB5753">
        <w:t xml:space="preserve">Baseline models are first developed to provide a benchmark for subsequent multimodal modelling. These may include logistic regression or other classification models for next-week return direction, linear or regularised regression for next-week volatility, and tree-based methods such as </w:t>
      </w:r>
      <w:proofErr w:type="spellStart"/>
      <w:r w:rsidRPr="00EB5753">
        <w:t>XGBoost</w:t>
      </w:r>
      <w:proofErr w:type="spellEnd"/>
      <w:r w:rsidRPr="00EB5753">
        <w:t>. Depending on the final empirical design, additional benchmark sequence models may also be included. These baseline models make it possible to test how much predictive value multimodal variables add beyond conventional market information and lagged price dynamics.</w:t>
      </w:r>
    </w:p>
    <w:p w14:paraId="17DC49CC" w14:textId="77777777" w:rsidR="00D6211F" w:rsidRPr="00EB5753" w:rsidRDefault="00D6211F" w:rsidP="00D6211F">
      <w:pPr>
        <w:pStyle w:val="3"/>
        <w:spacing w:before="0" w:after="0"/>
        <w:contextualSpacing/>
      </w:pPr>
      <w:r w:rsidRPr="00EB5753">
        <w:t>Step 6 – Multimodal structured forecasting framework</w:t>
      </w:r>
    </w:p>
    <w:p w14:paraId="7907D49F" w14:textId="77777777" w:rsidR="00D6211F" w:rsidRPr="00EB5753" w:rsidRDefault="00D6211F" w:rsidP="00D6211F">
      <w:pPr>
        <w:pStyle w:val="af"/>
        <w:spacing w:before="0" w:beforeAutospacing="0" w:afterLines="50" w:after="120" w:afterAutospacing="0"/>
        <w:jc w:val="both"/>
      </w:pPr>
      <w:r w:rsidRPr="00EB5753">
        <w:t xml:space="preserve">The next stage develops a multimodal forecasting framework on top of the baseline analysis. Vision-based encoders, with possible extension to vision-language components where joint visual-text alignment is helpful, may be used to process imagery from ports, storage sites, or refinery areas and derive compact visual representations of supply-chain conditions. LLM-based modules may be used to classify and summarise reports, </w:t>
      </w:r>
      <w:r w:rsidRPr="00EB5753">
        <w:lastRenderedPageBreak/>
        <w:t xml:space="preserve">announcements, and news items </w:t>
      </w:r>
      <w:proofErr w:type="gramStart"/>
      <w:r w:rsidRPr="00EB5753">
        <w:t>in order to</w:t>
      </w:r>
      <w:proofErr w:type="gramEnd"/>
      <w:r w:rsidRPr="00EB5753">
        <w:t xml:space="preserve"> produce structured event variables that reflect supply shocks, geopolitical disruptions, or policy changes. ST-GNN may be used to represent spatial and operational dependence across the oil supply-chain graph, allowing information to move across connected nodes such as ports, shipping corridors, and refining centres. Structure-informed constraints may also be introduced to reflect economically plausible relationships among inventories, transport bottlenecks, refinery margins, and price behaviour. These constraints are used not to impose a rigid structural model, but to keep the forecasting framework economically coherent and easier to interpret.</w:t>
      </w:r>
    </w:p>
    <w:p w14:paraId="3C74DCD6" w14:textId="77777777" w:rsidR="00D6211F" w:rsidRPr="00EB5753" w:rsidRDefault="00D6211F" w:rsidP="00D6211F">
      <w:pPr>
        <w:pStyle w:val="3"/>
        <w:spacing w:before="0" w:after="0"/>
        <w:contextualSpacing/>
      </w:pPr>
      <w:r w:rsidRPr="00EB5753">
        <w:t>Step 7 – Forecast evaluation, interpretation, and robustness analysis</w:t>
      </w:r>
    </w:p>
    <w:p w14:paraId="6A48C7FE" w14:textId="77777777" w:rsidR="00D6211F" w:rsidRPr="00EB5753" w:rsidRDefault="00D6211F" w:rsidP="00D6211F">
      <w:pPr>
        <w:pStyle w:val="af"/>
        <w:spacing w:before="0" w:beforeAutospacing="0" w:afterLines="50" w:after="120" w:afterAutospacing="0"/>
        <w:jc w:val="both"/>
      </w:pPr>
      <w:r w:rsidRPr="00EB5753">
        <w:t xml:space="preserve">The models are evaluated using both statistical and financially meaningful criteria. For </w:t>
      </w:r>
      <w:proofErr w:type="gramStart"/>
      <w:r w:rsidRPr="00EB5753">
        <w:t>next-week</w:t>
      </w:r>
      <w:proofErr w:type="gramEnd"/>
      <w:r w:rsidRPr="00EB5753">
        <w:t xml:space="preserve"> return direction, evaluation may include classification accuracy, precision, recall, and related directional metrics. For next-week realised volatility, evaluation may include forecast error measures suited to continuous volatility targets. Feature-importance analysis, SHAP, and ablation tests may be used to assess the relative contribution of visual, textual, graph-based, and conventional market variables. Robustness checks may include alternative volatility definitions, alternative proxy constructions, different input-window lengths, and sub-period analysis under different market regimes.</w:t>
      </w:r>
    </w:p>
    <w:p w14:paraId="0A1CABE6" w14:textId="77777777" w:rsidR="00D6211F" w:rsidRPr="00D6211F" w:rsidRDefault="00D6211F" w:rsidP="00AD2B15">
      <w:pPr>
        <w:pStyle w:val="af"/>
        <w:spacing w:before="0" w:beforeAutospacing="0" w:afterLines="50" w:after="120" w:afterAutospacing="0"/>
        <w:jc w:val="both"/>
        <w:rPr>
          <w:rFonts w:hint="eastAsia"/>
          <w:lang w:eastAsia="zh-CN"/>
        </w:rPr>
      </w:pPr>
    </w:p>
    <w:p w14:paraId="5F21FBBC" w14:textId="77777777" w:rsidR="00AD2B15" w:rsidRPr="00F823F8" w:rsidRDefault="00AD2B15" w:rsidP="00AD2B15">
      <w:pPr>
        <w:pStyle w:val="af"/>
        <w:spacing w:before="0" w:beforeAutospacing="0" w:afterLines="50" w:after="120" w:afterAutospacing="0"/>
        <w:jc w:val="both"/>
        <w:rPr>
          <w:lang w:val="en-US" w:eastAsia="zh-CN"/>
        </w:rPr>
      </w:pPr>
    </w:p>
    <w:p w14:paraId="0C147A13" w14:textId="5E687CA8" w:rsidR="00AD2B15" w:rsidRDefault="00AD2B15" w:rsidP="00AD2B15">
      <w:pPr>
        <w:pStyle w:val="3"/>
        <w:spacing w:before="0" w:after="0"/>
        <w:contextualSpacing/>
        <w:rPr>
          <w:lang w:eastAsia="zh-CN"/>
        </w:rPr>
      </w:pPr>
      <w:r>
        <w:t>Possible Further Improvements</w:t>
      </w:r>
    </w:p>
    <w:p w14:paraId="5F0BEE07" w14:textId="237A8C39" w:rsidR="00D6211F" w:rsidRDefault="00D6211F" w:rsidP="00D6211F">
      <w:pPr>
        <w:pStyle w:val="af"/>
        <w:numPr>
          <w:ilvl w:val="0"/>
          <w:numId w:val="42"/>
        </w:numPr>
        <w:spacing w:before="0" w:afterLines="50" w:after="120"/>
        <w:jc w:val="both"/>
      </w:pPr>
      <w:r>
        <w:t xml:space="preserve">If the multimodal proxy set proves too noisy at daily resolution, selected variables may be smoothed or aggregated before modelling to reduce high-frequency measurement error while retaining the daily input structure. </w:t>
      </w:r>
    </w:p>
    <w:p w14:paraId="67B77362" w14:textId="77777777" w:rsidR="00D6211F" w:rsidRDefault="00D6211F" w:rsidP="00D6211F">
      <w:pPr>
        <w:pStyle w:val="af"/>
        <w:numPr>
          <w:ilvl w:val="0"/>
          <w:numId w:val="42"/>
        </w:numPr>
        <w:spacing w:before="0" w:afterLines="50" w:after="120"/>
        <w:jc w:val="both"/>
      </w:pPr>
      <w:r>
        <w:t xml:space="preserve">If the full supply-chain graph proves too complex, the analysis may first focus on a more limited subsystem, such as export terminals, shipping routes, and refinery destinations, before expanding to a broader network. </w:t>
      </w:r>
    </w:p>
    <w:p w14:paraId="03D26593" w14:textId="77777777" w:rsidR="00D6211F" w:rsidRDefault="00D6211F" w:rsidP="00D6211F">
      <w:pPr>
        <w:pStyle w:val="af"/>
        <w:numPr>
          <w:ilvl w:val="0"/>
          <w:numId w:val="42"/>
        </w:numPr>
        <w:spacing w:before="0" w:afterLines="50" w:after="120"/>
        <w:jc w:val="both"/>
      </w:pPr>
      <w:r>
        <w:t xml:space="preserve">If text-derived signals vary too strongly in quality, the corpus may be narrowed to official reports and selected categories of market-relevant events. </w:t>
      </w:r>
    </w:p>
    <w:p w14:paraId="7C0F66DA" w14:textId="12A2E8F8" w:rsidR="00F75F40" w:rsidRPr="00D6211F" w:rsidRDefault="00D6211F" w:rsidP="00D6211F">
      <w:pPr>
        <w:pStyle w:val="af"/>
        <w:numPr>
          <w:ilvl w:val="0"/>
          <w:numId w:val="42"/>
        </w:numPr>
        <w:spacing w:before="0" w:afterLines="50" w:after="120"/>
        <w:jc w:val="both"/>
        <w:rPr>
          <w:rFonts w:hint="eastAsia"/>
        </w:rPr>
      </w:pPr>
      <w:r>
        <w:t>If the daily-input weekly-target framework proves too demanding for some models, simpler benchmark specifications may be retained as the main analysis, with graph-based or multimodal extensions presented as robustness-enhancing components.</w:t>
      </w:r>
    </w:p>
    <w:sectPr w:rsidR="00F75F40" w:rsidRPr="00D6211F" w:rsidSect="00E70378">
      <w:footerReference w:type="even" r:id="rId8"/>
      <w:footerReference w:type="default" r:id="rId9"/>
      <w:pgSz w:w="11900" w:h="16840"/>
      <w:pgMar w:top="1701" w:right="1701" w:bottom="1701"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E5150" w14:textId="77777777" w:rsidR="00D01B17" w:rsidRDefault="00D01B17" w:rsidP="001C5441">
      <w:r>
        <w:separator/>
      </w:r>
    </w:p>
  </w:endnote>
  <w:endnote w:type="continuationSeparator" w:id="0">
    <w:p w14:paraId="76F9E380" w14:textId="77777777" w:rsidR="00D01B17" w:rsidRDefault="00D01B17" w:rsidP="001C5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TimesNewRomanPSMT">
    <w:altName w:val="Times New Roman"/>
    <w:panose1 w:val="020B0604020202020204"/>
    <w:charset w:val="00"/>
    <w:family w:val="roman"/>
    <w:pitch w:val="variable"/>
    <w:sig w:usb0="E0002AEF" w:usb1="C0007841"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A8C7" w14:textId="77777777" w:rsidR="00B01E0F" w:rsidRDefault="00B01E0F" w:rsidP="00600597">
    <w:pPr>
      <w:pStyle w:val="af7"/>
      <w:framePr w:wrap="none" w:vAnchor="text" w:hAnchor="margin" w:xAlign="center" w:y="1"/>
      <w:rPr>
        <w:rStyle w:val="afe"/>
      </w:rPr>
    </w:pPr>
    <w:r>
      <w:rPr>
        <w:rStyle w:val="afe"/>
      </w:rPr>
      <w:fldChar w:fldCharType="begin"/>
    </w:r>
    <w:r>
      <w:rPr>
        <w:rStyle w:val="afe"/>
      </w:rPr>
      <w:instrText xml:space="preserve">PAGE  </w:instrText>
    </w:r>
    <w:r>
      <w:rPr>
        <w:rStyle w:val="afe"/>
      </w:rPr>
      <w:fldChar w:fldCharType="end"/>
    </w:r>
  </w:p>
  <w:p w14:paraId="535A2317" w14:textId="77777777" w:rsidR="00B01E0F" w:rsidRDefault="00B01E0F">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9D554" w14:textId="77777777" w:rsidR="00B01E0F" w:rsidRDefault="00B01E0F" w:rsidP="00600597">
    <w:pPr>
      <w:pStyle w:val="af7"/>
      <w:framePr w:wrap="none" w:vAnchor="text" w:hAnchor="margin" w:xAlign="center" w:y="1"/>
      <w:rPr>
        <w:rStyle w:val="afe"/>
      </w:rPr>
    </w:pPr>
    <w:r>
      <w:rPr>
        <w:rStyle w:val="afe"/>
      </w:rPr>
      <w:fldChar w:fldCharType="begin"/>
    </w:r>
    <w:r>
      <w:rPr>
        <w:rStyle w:val="afe"/>
      </w:rPr>
      <w:instrText xml:space="preserve">PAGE  </w:instrText>
    </w:r>
    <w:r>
      <w:rPr>
        <w:rStyle w:val="afe"/>
      </w:rPr>
      <w:fldChar w:fldCharType="separate"/>
    </w:r>
    <w:r w:rsidR="00186A0D">
      <w:rPr>
        <w:rStyle w:val="afe"/>
        <w:noProof/>
      </w:rPr>
      <w:t>1</w:t>
    </w:r>
    <w:r>
      <w:rPr>
        <w:rStyle w:val="afe"/>
      </w:rPr>
      <w:fldChar w:fldCharType="end"/>
    </w:r>
  </w:p>
  <w:p w14:paraId="30E71D65" w14:textId="0CA99875" w:rsidR="00F667B1" w:rsidRDefault="00F667B1" w:rsidP="00440A7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452B2" w14:textId="77777777" w:rsidR="00D01B17" w:rsidRDefault="00D01B17" w:rsidP="001C5441">
      <w:r>
        <w:separator/>
      </w:r>
    </w:p>
  </w:footnote>
  <w:footnote w:type="continuationSeparator" w:id="0">
    <w:p w14:paraId="28227AFE" w14:textId="77777777" w:rsidR="00D01B17" w:rsidRDefault="00D01B17" w:rsidP="001C54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ECAAE2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00000001"/>
    <w:lvl w:ilvl="0" w:tplc="416EA32C">
      <w:start w:val="1"/>
      <w:numFmt w:val="bullet"/>
      <w:lvlText w:val="⁃"/>
      <w:lvlJc w:val="left"/>
      <w:pPr>
        <w:ind w:left="720" w:hanging="360"/>
      </w:pPr>
    </w:lvl>
    <w:lvl w:ilvl="1" w:tplc="37982B08">
      <w:start w:val="1"/>
      <w:numFmt w:val="decimal"/>
      <w:lvlText w:val=""/>
      <w:lvlJc w:val="left"/>
    </w:lvl>
    <w:lvl w:ilvl="2" w:tplc="4468BEAC">
      <w:start w:val="1"/>
      <w:numFmt w:val="decimal"/>
      <w:lvlText w:val=""/>
      <w:lvlJc w:val="left"/>
    </w:lvl>
    <w:lvl w:ilvl="3" w:tplc="5B3C6CA6">
      <w:start w:val="1"/>
      <w:numFmt w:val="decimal"/>
      <w:lvlText w:val=""/>
      <w:lvlJc w:val="left"/>
    </w:lvl>
    <w:lvl w:ilvl="4" w:tplc="ACE8DE8E">
      <w:start w:val="1"/>
      <w:numFmt w:val="decimal"/>
      <w:lvlText w:val=""/>
      <w:lvlJc w:val="left"/>
    </w:lvl>
    <w:lvl w:ilvl="5" w:tplc="940C0C8E">
      <w:start w:val="1"/>
      <w:numFmt w:val="decimal"/>
      <w:lvlText w:val=""/>
      <w:lvlJc w:val="left"/>
    </w:lvl>
    <w:lvl w:ilvl="6" w:tplc="0B46F510">
      <w:start w:val="1"/>
      <w:numFmt w:val="decimal"/>
      <w:lvlText w:val=""/>
      <w:lvlJc w:val="left"/>
    </w:lvl>
    <w:lvl w:ilvl="7" w:tplc="2AC06B94">
      <w:start w:val="1"/>
      <w:numFmt w:val="decimal"/>
      <w:lvlText w:val=""/>
      <w:lvlJc w:val="left"/>
    </w:lvl>
    <w:lvl w:ilvl="8" w:tplc="6A50FFF2">
      <w:start w:val="1"/>
      <w:numFmt w:val="decimal"/>
      <w:lvlText w:val=""/>
      <w:lvlJc w:val="left"/>
    </w:lvl>
  </w:abstractNum>
  <w:abstractNum w:abstractNumId="2" w15:restartNumberingAfterBreak="0">
    <w:nsid w:val="00945626"/>
    <w:multiLevelType w:val="hybridMultilevel"/>
    <w:tmpl w:val="8C16C7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21A445B"/>
    <w:multiLevelType w:val="hybridMultilevel"/>
    <w:tmpl w:val="505A04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3D06ECF"/>
    <w:multiLevelType w:val="hybridMultilevel"/>
    <w:tmpl w:val="8CB2147E"/>
    <w:lvl w:ilvl="0" w:tplc="0809000F">
      <w:start w:val="1"/>
      <w:numFmt w:val="decimal"/>
      <w:lvlText w:val="%1."/>
      <w:lvlJc w:val="left"/>
      <w:pPr>
        <w:ind w:left="787" w:hanging="360"/>
      </w:pPr>
    </w:lvl>
    <w:lvl w:ilvl="1" w:tplc="08090019" w:tentative="1">
      <w:start w:val="1"/>
      <w:numFmt w:val="lowerLetter"/>
      <w:lvlText w:val="%2."/>
      <w:lvlJc w:val="left"/>
      <w:pPr>
        <w:ind w:left="1507" w:hanging="360"/>
      </w:pPr>
    </w:lvl>
    <w:lvl w:ilvl="2" w:tplc="0809001B" w:tentative="1">
      <w:start w:val="1"/>
      <w:numFmt w:val="lowerRoman"/>
      <w:lvlText w:val="%3."/>
      <w:lvlJc w:val="right"/>
      <w:pPr>
        <w:ind w:left="2227" w:hanging="180"/>
      </w:pPr>
    </w:lvl>
    <w:lvl w:ilvl="3" w:tplc="0809000F" w:tentative="1">
      <w:start w:val="1"/>
      <w:numFmt w:val="decimal"/>
      <w:lvlText w:val="%4."/>
      <w:lvlJc w:val="left"/>
      <w:pPr>
        <w:ind w:left="2947" w:hanging="360"/>
      </w:pPr>
    </w:lvl>
    <w:lvl w:ilvl="4" w:tplc="08090019" w:tentative="1">
      <w:start w:val="1"/>
      <w:numFmt w:val="lowerLetter"/>
      <w:lvlText w:val="%5."/>
      <w:lvlJc w:val="left"/>
      <w:pPr>
        <w:ind w:left="3667" w:hanging="360"/>
      </w:pPr>
    </w:lvl>
    <w:lvl w:ilvl="5" w:tplc="0809001B" w:tentative="1">
      <w:start w:val="1"/>
      <w:numFmt w:val="lowerRoman"/>
      <w:lvlText w:val="%6."/>
      <w:lvlJc w:val="right"/>
      <w:pPr>
        <w:ind w:left="4387" w:hanging="180"/>
      </w:pPr>
    </w:lvl>
    <w:lvl w:ilvl="6" w:tplc="0809000F" w:tentative="1">
      <w:start w:val="1"/>
      <w:numFmt w:val="decimal"/>
      <w:lvlText w:val="%7."/>
      <w:lvlJc w:val="left"/>
      <w:pPr>
        <w:ind w:left="5107" w:hanging="360"/>
      </w:pPr>
    </w:lvl>
    <w:lvl w:ilvl="7" w:tplc="08090019" w:tentative="1">
      <w:start w:val="1"/>
      <w:numFmt w:val="lowerLetter"/>
      <w:lvlText w:val="%8."/>
      <w:lvlJc w:val="left"/>
      <w:pPr>
        <w:ind w:left="5827" w:hanging="360"/>
      </w:pPr>
    </w:lvl>
    <w:lvl w:ilvl="8" w:tplc="0809001B" w:tentative="1">
      <w:start w:val="1"/>
      <w:numFmt w:val="lowerRoman"/>
      <w:lvlText w:val="%9."/>
      <w:lvlJc w:val="right"/>
      <w:pPr>
        <w:ind w:left="6547" w:hanging="180"/>
      </w:pPr>
    </w:lvl>
  </w:abstractNum>
  <w:abstractNum w:abstractNumId="5" w15:restartNumberingAfterBreak="0">
    <w:nsid w:val="10222337"/>
    <w:multiLevelType w:val="hybridMultilevel"/>
    <w:tmpl w:val="38B4B1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3612CF"/>
    <w:multiLevelType w:val="hybridMultilevel"/>
    <w:tmpl w:val="64FA48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F939BA"/>
    <w:multiLevelType w:val="hybridMultilevel"/>
    <w:tmpl w:val="909AE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3359C6"/>
    <w:multiLevelType w:val="hybridMultilevel"/>
    <w:tmpl w:val="823E0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9B344E"/>
    <w:multiLevelType w:val="hybridMultilevel"/>
    <w:tmpl w:val="C62C2A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2221D77"/>
    <w:multiLevelType w:val="hybridMultilevel"/>
    <w:tmpl w:val="18969B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2F72265"/>
    <w:multiLevelType w:val="hybridMultilevel"/>
    <w:tmpl w:val="85A0C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A953BF"/>
    <w:multiLevelType w:val="hybridMultilevel"/>
    <w:tmpl w:val="D0F26DA2"/>
    <w:lvl w:ilvl="0" w:tplc="3C96AAFA">
      <w:start w:val="2"/>
      <w:numFmt w:val="bullet"/>
      <w:lvlText w:val=""/>
      <w:lvlJc w:val="left"/>
      <w:pPr>
        <w:ind w:left="427" w:hanging="360"/>
      </w:pPr>
      <w:rPr>
        <w:rFonts w:ascii="Symbol" w:eastAsia="TimesNewRomanPSMT" w:hAnsi="Symbol" w:cs="TimesNewRomanPSMT" w:hint="default"/>
      </w:rPr>
    </w:lvl>
    <w:lvl w:ilvl="1" w:tplc="08090003" w:tentative="1">
      <w:start w:val="1"/>
      <w:numFmt w:val="bullet"/>
      <w:lvlText w:val="o"/>
      <w:lvlJc w:val="left"/>
      <w:pPr>
        <w:ind w:left="1147" w:hanging="360"/>
      </w:pPr>
      <w:rPr>
        <w:rFonts w:ascii="Courier New" w:hAnsi="Courier New" w:cs="Courier New" w:hint="default"/>
      </w:rPr>
    </w:lvl>
    <w:lvl w:ilvl="2" w:tplc="08090005" w:tentative="1">
      <w:start w:val="1"/>
      <w:numFmt w:val="bullet"/>
      <w:lvlText w:val=""/>
      <w:lvlJc w:val="left"/>
      <w:pPr>
        <w:ind w:left="1867" w:hanging="360"/>
      </w:pPr>
      <w:rPr>
        <w:rFonts w:ascii="Wingdings" w:hAnsi="Wingdings" w:hint="default"/>
      </w:rPr>
    </w:lvl>
    <w:lvl w:ilvl="3" w:tplc="08090001" w:tentative="1">
      <w:start w:val="1"/>
      <w:numFmt w:val="bullet"/>
      <w:lvlText w:val=""/>
      <w:lvlJc w:val="left"/>
      <w:pPr>
        <w:ind w:left="2587" w:hanging="360"/>
      </w:pPr>
      <w:rPr>
        <w:rFonts w:ascii="Symbol" w:hAnsi="Symbol" w:hint="default"/>
      </w:rPr>
    </w:lvl>
    <w:lvl w:ilvl="4" w:tplc="08090003" w:tentative="1">
      <w:start w:val="1"/>
      <w:numFmt w:val="bullet"/>
      <w:lvlText w:val="o"/>
      <w:lvlJc w:val="left"/>
      <w:pPr>
        <w:ind w:left="3307" w:hanging="360"/>
      </w:pPr>
      <w:rPr>
        <w:rFonts w:ascii="Courier New" w:hAnsi="Courier New" w:cs="Courier New" w:hint="default"/>
      </w:rPr>
    </w:lvl>
    <w:lvl w:ilvl="5" w:tplc="08090005" w:tentative="1">
      <w:start w:val="1"/>
      <w:numFmt w:val="bullet"/>
      <w:lvlText w:val=""/>
      <w:lvlJc w:val="left"/>
      <w:pPr>
        <w:ind w:left="4027" w:hanging="360"/>
      </w:pPr>
      <w:rPr>
        <w:rFonts w:ascii="Wingdings" w:hAnsi="Wingdings" w:hint="default"/>
      </w:rPr>
    </w:lvl>
    <w:lvl w:ilvl="6" w:tplc="08090001" w:tentative="1">
      <w:start w:val="1"/>
      <w:numFmt w:val="bullet"/>
      <w:lvlText w:val=""/>
      <w:lvlJc w:val="left"/>
      <w:pPr>
        <w:ind w:left="4747" w:hanging="360"/>
      </w:pPr>
      <w:rPr>
        <w:rFonts w:ascii="Symbol" w:hAnsi="Symbol" w:hint="default"/>
      </w:rPr>
    </w:lvl>
    <w:lvl w:ilvl="7" w:tplc="08090003" w:tentative="1">
      <w:start w:val="1"/>
      <w:numFmt w:val="bullet"/>
      <w:lvlText w:val="o"/>
      <w:lvlJc w:val="left"/>
      <w:pPr>
        <w:ind w:left="5467" w:hanging="360"/>
      </w:pPr>
      <w:rPr>
        <w:rFonts w:ascii="Courier New" w:hAnsi="Courier New" w:cs="Courier New" w:hint="default"/>
      </w:rPr>
    </w:lvl>
    <w:lvl w:ilvl="8" w:tplc="08090005" w:tentative="1">
      <w:start w:val="1"/>
      <w:numFmt w:val="bullet"/>
      <w:lvlText w:val=""/>
      <w:lvlJc w:val="left"/>
      <w:pPr>
        <w:ind w:left="6187" w:hanging="360"/>
      </w:pPr>
      <w:rPr>
        <w:rFonts w:ascii="Wingdings" w:hAnsi="Wingdings" w:hint="default"/>
      </w:rPr>
    </w:lvl>
  </w:abstractNum>
  <w:abstractNum w:abstractNumId="13" w15:restartNumberingAfterBreak="0">
    <w:nsid w:val="262D3E2A"/>
    <w:multiLevelType w:val="multilevel"/>
    <w:tmpl w:val="47BA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B006A"/>
    <w:multiLevelType w:val="hybridMultilevel"/>
    <w:tmpl w:val="41F6C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6B59BE"/>
    <w:multiLevelType w:val="hybridMultilevel"/>
    <w:tmpl w:val="51CA3C6E"/>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16" w15:restartNumberingAfterBreak="0">
    <w:nsid w:val="30877516"/>
    <w:multiLevelType w:val="hybridMultilevel"/>
    <w:tmpl w:val="BD68C2DC"/>
    <w:lvl w:ilvl="0" w:tplc="08090001">
      <w:start w:val="69"/>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2360487"/>
    <w:multiLevelType w:val="hybridMultilevel"/>
    <w:tmpl w:val="3560F122"/>
    <w:lvl w:ilvl="0" w:tplc="56F20E0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700463"/>
    <w:multiLevelType w:val="multilevel"/>
    <w:tmpl w:val="0874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8476A7"/>
    <w:multiLevelType w:val="multilevel"/>
    <w:tmpl w:val="4C2E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9A46E6"/>
    <w:multiLevelType w:val="hybridMultilevel"/>
    <w:tmpl w:val="18969B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7CE1D76"/>
    <w:multiLevelType w:val="multilevel"/>
    <w:tmpl w:val="C72C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F3117"/>
    <w:multiLevelType w:val="hybridMultilevel"/>
    <w:tmpl w:val="E23CC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C536BB"/>
    <w:multiLevelType w:val="hybridMultilevel"/>
    <w:tmpl w:val="D9C02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BE8680C"/>
    <w:multiLevelType w:val="multilevel"/>
    <w:tmpl w:val="9E5C9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733769"/>
    <w:multiLevelType w:val="hybridMultilevel"/>
    <w:tmpl w:val="3A3C91B6"/>
    <w:lvl w:ilvl="0" w:tplc="D2FE064E">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26" w15:restartNumberingAfterBreak="0">
    <w:nsid w:val="3EF05124"/>
    <w:multiLevelType w:val="hybridMultilevel"/>
    <w:tmpl w:val="47B2DA0A"/>
    <w:lvl w:ilvl="0" w:tplc="0809000F">
      <w:start w:val="1"/>
      <w:numFmt w:val="decimal"/>
      <w:lvlText w:val="%1."/>
      <w:lvlJc w:val="left"/>
      <w:pPr>
        <w:ind w:left="787" w:hanging="360"/>
      </w:pPr>
    </w:lvl>
    <w:lvl w:ilvl="1" w:tplc="08090019" w:tentative="1">
      <w:start w:val="1"/>
      <w:numFmt w:val="lowerLetter"/>
      <w:lvlText w:val="%2."/>
      <w:lvlJc w:val="left"/>
      <w:pPr>
        <w:ind w:left="1507" w:hanging="360"/>
      </w:pPr>
    </w:lvl>
    <w:lvl w:ilvl="2" w:tplc="0809001B" w:tentative="1">
      <w:start w:val="1"/>
      <w:numFmt w:val="lowerRoman"/>
      <w:lvlText w:val="%3."/>
      <w:lvlJc w:val="right"/>
      <w:pPr>
        <w:ind w:left="2227" w:hanging="180"/>
      </w:pPr>
    </w:lvl>
    <w:lvl w:ilvl="3" w:tplc="0809000F" w:tentative="1">
      <w:start w:val="1"/>
      <w:numFmt w:val="decimal"/>
      <w:lvlText w:val="%4."/>
      <w:lvlJc w:val="left"/>
      <w:pPr>
        <w:ind w:left="2947" w:hanging="360"/>
      </w:pPr>
    </w:lvl>
    <w:lvl w:ilvl="4" w:tplc="08090019" w:tentative="1">
      <w:start w:val="1"/>
      <w:numFmt w:val="lowerLetter"/>
      <w:lvlText w:val="%5."/>
      <w:lvlJc w:val="left"/>
      <w:pPr>
        <w:ind w:left="3667" w:hanging="360"/>
      </w:pPr>
    </w:lvl>
    <w:lvl w:ilvl="5" w:tplc="0809001B" w:tentative="1">
      <w:start w:val="1"/>
      <w:numFmt w:val="lowerRoman"/>
      <w:lvlText w:val="%6."/>
      <w:lvlJc w:val="right"/>
      <w:pPr>
        <w:ind w:left="4387" w:hanging="180"/>
      </w:pPr>
    </w:lvl>
    <w:lvl w:ilvl="6" w:tplc="0809000F" w:tentative="1">
      <w:start w:val="1"/>
      <w:numFmt w:val="decimal"/>
      <w:lvlText w:val="%7."/>
      <w:lvlJc w:val="left"/>
      <w:pPr>
        <w:ind w:left="5107" w:hanging="360"/>
      </w:pPr>
    </w:lvl>
    <w:lvl w:ilvl="7" w:tplc="08090019" w:tentative="1">
      <w:start w:val="1"/>
      <w:numFmt w:val="lowerLetter"/>
      <w:lvlText w:val="%8."/>
      <w:lvlJc w:val="left"/>
      <w:pPr>
        <w:ind w:left="5827" w:hanging="360"/>
      </w:pPr>
    </w:lvl>
    <w:lvl w:ilvl="8" w:tplc="0809001B" w:tentative="1">
      <w:start w:val="1"/>
      <w:numFmt w:val="lowerRoman"/>
      <w:lvlText w:val="%9."/>
      <w:lvlJc w:val="right"/>
      <w:pPr>
        <w:ind w:left="6547" w:hanging="180"/>
      </w:pPr>
    </w:lvl>
  </w:abstractNum>
  <w:abstractNum w:abstractNumId="27" w15:restartNumberingAfterBreak="0">
    <w:nsid w:val="3F764D7C"/>
    <w:multiLevelType w:val="multilevel"/>
    <w:tmpl w:val="A7A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9E39A5"/>
    <w:multiLevelType w:val="hybridMultilevel"/>
    <w:tmpl w:val="76AC2D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2D23F36"/>
    <w:multiLevelType w:val="hybridMultilevel"/>
    <w:tmpl w:val="EFB8256A"/>
    <w:lvl w:ilvl="0" w:tplc="9DDA47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439040AB"/>
    <w:multiLevelType w:val="hybridMultilevel"/>
    <w:tmpl w:val="21E228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58E0D6B"/>
    <w:multiLevelType w:val="hybridMultilevel"/>
    <w:tmpl w:val="A832F876"/>
    <w:lvl w:ilvl="0" w:tplc="F2589F7A">
      <w:start w:val="4"/>
      <w:numFmt w:val="bullet"/>
      <w:lvlText w:val="-"/>
      <w:lvlJc w:val="left"/>
      <w:pPr>
        <w:ind w:left="720" w:hanging="360"/>
      </w:pPr>
      <w:rPr>
        <w:rFonts w:ascii="Times New Roman" w:eastAsia="TimesNewRomanPSMT"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6351024"/>
    <w:multiLevelType w:val="hybridMultilevel"/>
    <w:tmpl w:val="9904B6C8"/>
    <w:lvl w:ilvl="0" w:tplc="9D6A7D7E">
      <w:start w:val="1"/>
      <w:numFmt w:val="bullet"/>
      <w:pStyle w:val="a"/>
      <w:lvlText w:val=""/>
      <w:lvlJc w:val="left"/>
      <w:pPr>
        <w:ind w:left="680" w:hanging="396"/>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6A57D30"/>
    <w:multiLevelType w:val="hybridMultilevel"/>
    <w:tmpl w:val="18969B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A085624"/>
    <w:multiLevelType w:val="hybridMultilevel"/>
    <w:tmpl w:val="F29254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AAC6DE9"/>
    <w:multiLevelType w:val="multilevel"/>
    <w:tmpl w:val="A22CF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4B594F"/>
    <w:multiLevelType w:val="hybridMultilevel"/>
    <w:tmpl w:val="E9C274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8876ED0"/>
    <w:multiLevelType w:val="multilevel"/>
    <w:tmpl w:val="E5F4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131CC6"/>
    <w:multiLevelType w:val="hybridMultilevel"/>
    <w:tmpl w:val="FA16E8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5000119"/>
    <w:multiLevelType w:val="hybridMultilevel"/>
    <w:tmpl w:val="9C62E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8821F2A"/>
    <w:multiLevelType w:val="hybridMultilevel"/>
    <w:tmpl w:val="ADD095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9F11862"/>
    <w:multiLevelType w:val="hybridMultilevel"/>
    <w:tmpl w:val="20F23F44"/>
    <w:lvl w:ilvl="0" w:tplc="39C4648E">
      <w:start w:val="1"/>
      <w:numFmt w:val="decimal"/>
      <w:lvlText w:val="%1."/>
      <w:lvlJc w:val="left"/>
      <w:pPr>
        <w:ind w:left="920" w:hanging="360"/>
      </w:pPr>
      <w:rPr>
        <w:rFonts w:hint="default"/>
      </w:rPr>
    </w:lvl>
    <w:lvl w:ilvl="1" w:tplc="08090019" w:tentative="1">
      <w:start w:val="1"/>
      <w:numFmt w:val="lowerLetter"/>
      <w:lvlText w:val="%2."/>
      <w:lvlJc w:val="left"/>
      <w:pPr>
        <w:ind w:left="1640" w:hanging="360"/>
      </w:pPr>
    </w:lvl>
    <w:lvl w:ilvl="2" w:tplc="0809001B" w:tentative="1">
      <w:start w:val="1"/>
      <w:numFmt w:val="lowerRoman"/>
      <w:lvlText w:val="%3."/>
      <w:lvlJc w:val="right"/>
      <w:pPr>
        <w:ind w:left="2360" w:hanging="180"/>
      </w:pPr>
    </w:lvl>
    <w:lvl w:ilvl="3" w:tplc="0809000F" w:tentative="1">
      <w:start w:val="1"/>
      <w:numFmt w:val="decimal"/>
      <w:lvlText w:val="%4."/>
      <w:lvlJc w:val="left"/>
      <w:pPr>
        <w:ind w:left="3080" w:hanging="360"/>
      </w:pPr>
    </w:lvl>
    <w:lvl w:ilvl="4" w:tplc="08090019" w:tentative="1">
      <w:start w:val="1"/>
      <w:numFmt w:val="lowerLetter"/>
      <w:lvlText w:val="%5."/>
      <w:lvlJc w:val="left"/>
      <w:pPr>
        <w:ind w:left="3800" w:hanging="360"/>
      </w:pPr>
    </w:lvl>
    <w:lvl w:ilvl="5" w:tplc="0809001B" w:tentative="1">
      <w:start w:val="1"/>
      <w:numFmt w:val="lowerRoman"/>
      <w:lvlText w:val="%6."/>
      <w:lvlJc w:val="right"/>
      <w:pPr>
        <w:ind w:left="4520" w:hanging="180"/>
      </w:pPr>
    </w:lvl>
    <w:lvl w:ilvl="6" w:tplc="0809000F" w:tentative="1">
      <w:start w:val="1"/>
      <w:numFmt w:val="decimal"/>
      <w:lvlText w:val="%7."/>
      <w:lvlJc w:val="left"/>
      <w:pPr>
        <w:ind w:left="5240" w:hanging="360"/>
      </w:pPr>
    </w:lvl>
    <w:lvl w:ilvl="7" w:tplc="08090019" w:tentative="1">
      <w:start w:val="1"/>
      <w:numFmt w:val="lowerLetter"/>
      <w:lvlText w:val="%8."/>
      <w:lvlJc w:val="left"/>
      <w:pPr>
        <w:ind w:left="5960" w:hanging="360"/>
      </w:pPr>
    </w:lvl>
    <w:lvl w:ilvl="8" w:tplc="0809001B" w:tentative="1">
      <w:start w:val="1"/>
      <w:numFmt w:val="lowerRoman"/>
      <w:lvlText w:val="%9."/>
      <w:lvlJc w:val="right"/>
      <w:pPr>
        <w:ind w:left="6680" w:hanging="180"/>
      </w:pPr>
    </w:lvl>
  </w:abstractNum>
  <w:abstractNum w:abstractNumId="42" w15:restartNumberingAfterBreak="0">
    <w:nsid w:val="70757A3B"/>
    <w:multiLevelType w:val="multilevel"/>
    <w:tmpl w:val="F884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FB548A"/>
    <w:multiLevelType w:val="hybridMultilevel"/>
    <w:tmpl w:val="334C764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3C23A12"/>
    <w:multiLevelType w:val="hybridMultilevel"/>
    <w:tmpl w:val="FE606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46B0FC8"/>
    <w:multiLevelType w:val="hybridMultilevel"/>
    <w:tmpl w:val="13843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850685C"/>
    <w:multiLevelType w:val="multilevel"/>
    <w:tmpl w:val="AED2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B26880"/>
    <w:multiLevelType w:val="hybridMultilevel"/>
    <w:tmpl w:val="7B50346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7F3730D8"/>
    <w:multiLevelType w:val="hybridMultilevel"/>
    <w:tmpl w:val="47B2DA0A"/>
    <w:lvl w:ilvl="0" w:tplc="0809000F">
      <w:start w:val="1"/>
      <w:numFmt w:val="decimal"/>
      <w:lvlText w:val="%1."/>
      <w:lvlJc w:val="left"/>
      <w:pPr>
        <w:ind w:left="787" w:hanging="360"/>
      </w:pPr>
    </w:lvl>
    <w:lvl w:ilvl="1" w:tplc="08090019" w:tentative="1">
      <w:start w:val="1"/>
      <w:numFmt w:val="lowerLetter"/>
      <w:lvlText w:val="%2."/>
      <w:lvlJc w:val="left"/>
      <w:pPr>
        <w:ind w:left="1507" w:hanging="360"/>
      </w:pPr>
    </w:lvl>
    <w:lvl w:ilvl="2" w:tplc="0809001B" w:tentative="1">
      <w:start w:val="1"/>
      <w:numFmt w:val="lowerRoman"/>
      <w:lvlText w:val="%3."/>
      <w:lvlJc w:val="right"/>
      <w:pPr>
        <w:ind w:left="2227" w:hanging="180"/>
      </w:pPr>
    </w:lvl>
    <w:lvl w:ilvl="3" w:tplc="0809000F" w:tentative="1">
      <w:start w:val="1"/>
      <w:numFmt w:val="decimal"/>
      <w:lvlText w:val="%4."/>
      <w:lvlJc w:val="left"/>
      <w:pPr>
        <w:ind w:left="2947" w:hanging="360"/>
      </w:pPr>
    </w:lvl>
    <w:lvl w:ilvl="4" w:tplc="08090019" w:tentative="1">
      <w:start w:val="1"/>
      <w:numFmt w:val="lowerLetter"/>
      <w:lvlText w:val="%5."/>
      <w:lvlJc w:val="left"/>
      <w:pPr>
        <w:ind w:left="3667" w:hanging="360"/>
      </w:pPr>
    </w:lvl>
    <w:lvl w:ilvl="5" w:tplc="0809001B" w:tentative="1">
      <w:start w:val="1"/>
      <w:numFmt w:val="lowerRoman"/>
      <w:lvlText w:val="%6."/>
      <w:lvlJc w:val="right"/>
      <w:pPr>
        <w:ind w:left="4387" w:hanging="180"/>
      </w:pPr>
    </w:lvl>
    <w:lvl w:ilvl="6" w:tplc="0809000F" w:tentative="1">
      <w:start w:val="1"/>
      <w:numFmt w:val="decimal"/>
      <w:lvlText w:val="%7."/>
      <w:lvlJc w:val="left"/>
      <w:pPr>
        <w:ind w:left="5107" w:hanging="360"/>
      </w:pPr>
    </w:lvl>
    <w:lvl w:ilvl="7" w:tplc="08090019" w:tentative="1">
      <w:start w:val="1"/>
      <w:numFmt w:val="lowerLetter"/>
      <w:lvlText w:val="%8."/>
      <w:lvlJc w:val="left"/>
      <w:pPr>
        <w:ind w:left="5827" w:hanging="360"/>
      </w:pPr>
    </w:lvl>
    <w:lvl w:ilvl="8" w:tplc="0809001B" w:tentative="1">
      <w:start w:val="1"/>
      <w:numFmt w:val="lowerRoman"/>
      <w:lvlText w:val="%9."/>
      <w:lvlJc w:val="right"/>
      <w:pPr>
        <w:ind w:left="6547" w:hanging="180"/>
      </w:pPr>
    </w:lvl>
  </w:abstractNum>
  <w:num w:numId="1" w16cid:durableId="1377120205">
    <w:abstractNumId w:val="1"/>
  </w:num>
  <w:num w:numId="2" w16cid:durableId="841046518">
    <w:abstractNumId w:val="3"/>
  </w:num>
  <w:num w:numId="3" w16cid:durableId="728965067">
    <w:abstractNumId w:val="33"/>
  </w:num>
  <w:num w:numId="4" w16cid:durableId="981733249">
    <w:abstractNumId w:val="5"/>
  </w:num>
  <w:num w:numId="5" w16cid:durableId="1274635879">
    <w:abstractNumId w:val="41"/>
  </w:num>
  <w:num w:numId="6" w16cid:durableId="1988317878">
    <w:abstractNumId w:val="30"/>
  </w:num>
  <w:num w:numId="7" w16cid:durableId="1414475065">
    <w:abstractNumId w:val="34"/>
  </w:num>
  <w:num w:numId="8" w16cid:durableId="1746292617">
    <w:abstractNumId w:val="10"/>
  </w:num>
  <w:num w:numId="9" w16cid:durableId="2087871671">
    <w:abstractNumId w:val="20"/>
  </w:num>
  <w:num w:numId="10" w16cid:durableId="1296716251">
    <w:abstractNumId w:val="26"/>
  </w:num>
  <w:num w:numId="11" w16cid:durableId="148712585">
    <w:abstractNumId w:val="12"/>
  </w:num>
  <w:num w:numId="12" w16cid:durableId="1327056620">
    <w:abstractNumId w:val="38"/>
  </w:num>
  <w:num w:numId="13" w16cid:durableId="210003593">
    <w:abstractNumId w:val="0"/>
  </w:num>
  <w:num w:numId="14" w16cid:durableId="1108626665">
    <w:abstractNumId w:val="2"/>
  </w:num>
  <w:num w:numId="15" w16cid:durableId="730352920">
    <w:abstractNumId w:val="48"/>
  </w:num>
  <w:num w:numId="16" w16cid:durableId="1947959043">
    <w:abstractNumId w:val="31"/>
  </w:num>
  <w:num w:numId="17" w16cid:durableId="1882783893">
    <w:abstractNumId w:val="16"/>
  </w:num>
  <w:num w:numId="18" w16cid:durableId="1864434275">
    <w:abstractNumId w:val="23"/>
  </w:num>
  <w:num w:numId="19" w16cid:durableId="1791243399">
    <w:abstractNumId w:val="8"/>
  </w:num>
  <w:num w:numId="20" w16cid:durableId="842206474">
    <w:abstractNumId w:val="14"/>
  </w:num>
  <w:num w:numId="21" w16cid:durableId="90055736">
    <w:abstractNumId w:val="40"/>
  </w:num>
  <w:num w:numId="22" w16cid:durableId="32925762">
    <w:abstractNumId w:val="22"/>
  </w:num>
  <w:num w:numId="23" w16cid:durableId="1902328401">
    <w:abstractNumId w:val="36"/>
  </w:num>
  <w:num w:numId="24" w16cid:durableId="2085177139">
    <w:abstractNumId w:val="11"/>
  </w:num>
  <w:num w:numId="25" w16cid:durableId="1619798524">
    <w:abstractNumId w:val="39"/>
  </w:num>
  <w:num w:numId="26" w16cid:durableId="456027573">
    <w:abstractNumId w:val="15"/>
  </w:num>
  <w:num w:numId="27" w16cid:durableId="800997293">
    <w:abstractNumId w:val="4"/>
  </w:num>
  <w:num w:numId="28" w16cid:durableId="1256859373">
    <w:abstractNumId w:val="25"/>
  </w:num>
  <w:num w:numId="29" w16cid:durableId="2076855082">
    <w:abstractNumId w:val="44"/>
  </w:num>
  <w:num w:numId="30" w16cid:durableId="51200626">
    <w:abstractNumId w:val="32"/>
  </w:num>
  <w:num w:numId="31" w16cid:durableId="1242908612">
    <w:abstractNumId w:val="6"/>
  </w:num>
  <w:num w:numId="32" w16cid:durableId="293751490">
    <w:abstractNumId w:val="43"/>
  </w:num>
  <w:num w:numId="33" w16cid:durableId="317081312">
    <w:abstractNumId w:val="9"/>
  </w:num>
  <w:num w:numId="34" w16cid:durableId="1245263241">
    <w:abstractNumId w:val="17"/>
  </w:num>
  <w:num w:numId="35" w16cid:durableId="725567340">
    <w:abstractNumId w:val="28"/>
  </w:num>
  <w:num w:numId="36" w16cid:durableId="760444722">
    <w:abstractNumId w:val="35"/>
  </w:num>
  <w:num w:numId="37" w16cid:durableId="1217472223">
    <w:abstractNumId w:val="45"/>
  </w:num>
  <w:num w:numId="38" w16cid:durableId="65614027">
    <w:abstractNumId w:val="7"/>
  </w:num>
  <w:num w:numId="39" w16cid:durableId="1209491089">
    <w:abstractNumId w:val="37"/>
  </w:num>
  <w:num w:numId="40" w16cid:durableId="1621720810">
    <w:abstractNumId w:val="18"/>
  </w:num>
  <w:num w:numId="41" w16cid:durableId="1301493190">
    <w:abstractNumId w:val="19"/>
  </w:num>
  <w:num w:numId="42" w16cid:durableId="1206671948">
    <w:abstractNumId w:val="29"/>
  </w:num>
  <w:num w:numId="43" w16cid:durableId="1741361704">
    <w:abstractNumId w:val="24"/>
  </w:num>
  <w:num w:numId="44" w16cid:durableId="2003964831">
    <w:abstractNumId w:val="47"/>
  </w:num>
  <w:num w:numId="45" w16cid:durableId="192698561">
    <w:abstractNumId w:val="21"/>
  </w:num>
  <w:num w:numId="46" w16cid:durableId="733700855">
    <w:abstractNumId w:val="13"/>
  </w:num>
  <w:num w:numId="47" w16cid:durableId="1055202768">
    <w:abstractNumId w:val="46"/>
  </w:num>
  <w:num w:numId="48" w16cid:durableId="949625529">
    <w:abstractNumId w:val="42"/>
  </w:num>
  <w:num w:numId="49" w16cid:durableId="20738446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oNotDisplayPageBoundaries/>
  <w:bordersDoNotSurroundHeader/>
  <w:bordersDoNotSurroundFooter/>
  <w:activeWritingStyle w:appName="MSWord" w:lang="en-GB" w:vendorID="64" w:dllVersion="4096" w:nlCheck="1" w:checkStyle="0"/>
  <w:activeWritingStyle w:appName="MSWord" w:lang="en-US" w:vendorID="64" w:dllVersion="4096" w:nlCheck="1" w:checkStyle="0"/>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proofState w:spelling="clean" w:grammar="clean"/>
  <w:defaultTabStop w:val="720"/>
  <w:drawingGridHorizontalSpacing w:val="110"/>
  <w:drawingGridVerticalSpacing w:val="299"/>
  <w:displayHorizontalDrawingGridEvery w:val="2"/>
  <w:doNotShadeFormData/>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565"/>
    <w:rsid w:val="00004F6C"/>
    <w:rsid w:val="00011AEB"/>
    <w:rsid w:val="00011FD9"/>
    <w:rsid w:val="00013C0F"/>
    <w:rsid w:val="000175BD"/>
    <w:rsid w:val="00020652"/>
    <w:rsid w:val="0002452F"/>
    <w:rsid w:val="00026F84"/>
    <w:rsid w:val="00027273"/>
    <w:rsid w:val="00031A0D"/>
    <w:rsid w:val="00032BF7"/>
    <w:rsid w:val="00036A4B"/>
    <w:rsid w:val="00037F2A"/>
    <w:rsid w:val="00041724"/>
    <w:rsid w:val="00042FF9"/>
    <w:rsid w:val="0004561A"/>
    <w:rsid w:val="000464B5"/>
    <w:rsid w:val="000470BD"/>
    <w:rsid w:val="000505C4"/>
    <w:rsid w:val="000517AC"/>
    <w:rsid w:val="00053AC5"/>
    <w:rsid w:val="00055D59"/>
    <w:rsid w:val="00063D97"/>
    <w:rsid w:val="00063E1E"/>
    <w:rsid w:val="00064C6E"/>
    <w:rsid w:val="00065BF1"/>
    <w:rsid w:val="00074290"/>
    <w:rsid w:val="00075175"/>
    <w:rsid w:val="000753F5"/>
    <w:rsid w:val="00076389"/>
    <w:rsid w:val="00077AE9"/>
    <w:rsid w:val="00080D41"/>
    <w:rsid w:val="00081492"/>
    <w:rsid w:val="00081D83"/>
    <w:rsid w:val="0008206C"/>
    <w:rsid w:val="000913D6"/>
    <w:rsid w:val="0009279E"/>
    <w:rsid w:val="00092C1D"/>
    <w:rsid w:val="00094F2D"/>
    <w:rsid w:val="000A0777"/>
    <w:rsid w:val="000A3D13"/>
    <w:rsid w:val="000A5719"/>
    <w:rsid w:val="000B1931"/>
    <w:rsid w:val="000B2ACE"/>
    <w:rsid w:val="000B356B"/>
    <w:rsid w:val="000B5312"/>
    <w:rsid w:val="000C0416"/>
    <w:rsid w:val="000C1EAF"/>
    <w:rsid w:val="000C5595"/>
    <w:rsid w:val="000C6AD9"/>
    <w:rsid w:val="000C71F0"/>
    <w:rsid w:val="000D107E"/>
    <w:rsid w:val="000D1647"/>
    <w:rsid w:val="000D49BA"/>
    <w:rsid w:val="000D73FC"/>
    <w:rsid w:val="000D7675"/>
    <w:rsid w:val="000E2D34"/>
    <w:rsid w:val="000E2F51"/>
    <w:rsid w:val="000E321E"/>
    <w:rsid w:val="000E36E5"/>
    <w:rsid w:val="000E4766"/>
    <w:rsid w:val="000E4900"/>
    <w:rsid w:val="000E6B69"/>
    <w:rsid w:val="000E70BB"/>
    <w:rsid w:val="000F0215"/>
    <w:rsid w:val="000F4B3C"/>
    <w:rsid w:val="001015D9"/>
    <w:rsid w:val="00104766"/>
    <w:rsid w:val="0010694E"/>
    <w:rsid w:val="00107DFA"/>
    <w:rsid w:val="0011031C"/>
    <w:rsid w:val="00110724"/>
    <w:rsid w:val="00110C4E"/>
    <w:rsid w:val="00111593"/>
    <w:rsid w:val="00112A1A"/>
    <w:rsid w:val="00112E25"/>
    <w:rsid w:val="00113D75"/>
    <w:rsid w:val="00114118"/>
    <w:rsid w:val="001148A7"/>
    <w:rsid w:val="001205D8"/>
    <w:rsid w:val="00123670"/>
    <w:rsid w:val="00133C52"/>
    <w:rsid w:val="00133C81"/>
    <w:rsid w:val="001353AD"/>
    <w:rsid w:val="001366FE"/>
    <w:rsid w:val="00136C67"/>
    <w:rsid w:val="0014181C"/>
    <w:rsid w:val="001427D4"/>
    <w:rsid w:val="001432A2"/>
    <w:rsid w:val="0014787A"/>
    <w:rsid w:val="00151CD5"/>
    <w:rsid w:val="00152598"/>
    <w:rsid w:val="001527FF"/>
    <w:rsid w:val="00155198"/>
    <w:rsid w:val="00156A8D"/>
    <w:rsid w:val="0015710C"/>
    <w:rsid w:val="0016370C"/>
    <w:rsid w:val="001712B5"/>
    <w:rsid w:val="00184929"/>
    <w:rsid w:val="00186506"/>
    <w:rsid w:val="00186A0D"/>
    <w:rsid w:val="001904ED"/>
    <w:rsid w:val="001918CE"/>
    <w:rsid w:val="00196861"/>
    <w:rsid w:val="001972B6"/>
    <w:rsid w:val="00197BC1"/>
    <w:rsid w:val="001A1468"/>
    <w:rsid w:val="001A241B"/>
    <w:rsid w:val="001A2A1D"/>
    <w:rsid w:val="001A520D"/>
    <w:rsid w:val="001B015D"/>
    <w:rsid w:val="001B1054"/>
    <w:rsid w:val="001B1403"/>
    <w:rsid w:val="001B4939"/>
    <w:rsid w:val="001B5DFF"/>
    <w:rsid w:val="001B5FE4"/>
    <w:rsid w:val="001B632C"/>
    <w:rsid w:val="001B67EE"/>
    <w:rsid w:val="001B6D99"/>
    <w:rsid w:val="001C2C28"/>
    <w:rsid w:val="001C3A36"/>
    <w:rsid w:val="001C5441"/>
    <w:rsid w:val="001C5851"/>
    <w:rsid w:val="001C5906"/>
    <w:rsid w:val="001D008B"/>
    <w:rsid w:val="001D2DAB"/>
    <w:rsid w:val="001D4BC0"/>
    <w:rsid w:val="001D75C3"/>
    <w:rsid w:val="001E074D"/>
    <w:rsid w:val="001E29ED"/>
    <w:rsid w:val="001E6EB1"/>
    <w:rsid w:val="001F1635"/>
    <w:rsid w:val="001F20FE"/>
    <w:rsid w:val="001F2102"/>
    <w:rsid w:val="001F3B58"/>
    <w:rsid w:val="001F5FC4"/>
    <w:rsid w:val="001F6007"/>
    <w:rsid w:val="00207545"/>
    <w:rsid w:val="002102F0"/>
    <w:rsid w:val="00211F42"/>
    <w:rsid w:val="002152AF"/>
    <w:rsid w:val="0023087A"/>
    <w:rsid w:val="00235205"/>
    <w:rsid w:val="00241908"/>
    <w:rsid w:val="002422A5"/>
    <w:rsid w:val="00247453"/>
    <w:rsid w:val="002501BF"/>
    <w:rsid w:val="0025021F"/>
    <w:rsid w:val="00250B51"/>
    <w:rsid w:val="00252357"/>
    <w:rsid w:val="00253729"/>
    <w:rsid w:val="002538FE"/>
    <w:rsid w:val="00254EA7"/>
    <w:rsid w:val="00257F46"/>
    <w:rsid w:val="00261BBC"/>
    <w:rsid w:val="0026213C"/>
    <w:rsid w:val="00263F33"/>
    <w:rsid w:val="00264A6A"/>
    <w:rsid w:val="00273235"/>
    <w:rsid w:val="00274965"/>
    <w:rsid w:val="0027671F"/>
    <w:rsid w:val="00276E02"/>
    <w:rsid w:val="00287161"/>
    <w:rsid w:val="00287B59"/>
    <w:rsid w:val="00287FAD"/>
    <w:rsid w:val="00296098"/>
    <w:rsid w:val="002A18C1"/>
    <w:rsid w:val="002A35F4"/>
    <w:rsid w:val="002B3A07"/>
    <w:rsid w:val="002B48E7"/>
    <w:rsid w:val="002B660D"/>
    <w:rsid w:val="002C3A75"/>
    <w:rsid w:val="002C560D"/>
    <w:rsid w:val="002C567B"/>
    <w:rsid w:val="002C5855"/>
    <w:rsid w:val="002D0795"/>
    <w:rsid w:val="002D29E5"/>
    <w:rsid w:val="002D4CC6"/>
    <w:rsid w:val="002D6827"/>
    <w:rsid w:val="002E137E"/>
    <w:rsid w:val="002E2F69"/>
    <w:rsid w:val="002E4AFD"/>
    <w:rsid w:val="002F250D"/>
    <w:rsid w:val="002F4FAD"/>
    <w:rsid w:val="002F7AAC"/>
    <w:rsid w:val="00304C86"/>
    <w:rsid w:val="00305E0D"/>
    <w:rsid w:val="003100FB"/>
    <w:rsid w:val="00314900"/>
    <w:rsid w:val="00315FA6"/>
    <w:rsid w:val="0031696C"/>
    <w:rsid w:val="00320667"/>
    <w:rsid w:val="003258B2"/>
    <w:rsid w:val="00331CC7"/>
    <w:rsid w:val="003341A4"/>
    <w:rsid w:val="00334B25"/>
    <w:rsid w:val="00334C4B"/>
    <w:rsid w:val="00337F07"/>
    <w:rsid w:val="0034166D"/>
    <w:rsid w:val="00343E00"/>
    <w:rsid w:val="00345C3C"/>
    <w:rsid w:val="0034765D"/>
    <w:rsid w:val="003503D3"/>
    <w:rsid w:val="00351AA5"/>
    <w:rsid w:val="00357663"/>
    <w:rsid w:val="0036175D"/>
    <w:rsid w:val="00362328"/>
    <w:rsid w:val="00362826"/>
    <w:rsid w:val="00365FE2"/>
    <w:rsid w:val="00366B9A"/>
    <w:rsid w:val="00373AA2"/>
    <w:rsid w:val="0037755B"/>
    <w:rsid w:val="00377A59"/>
    <w:rsid w:val="00377AB3"/>
    <w:rsid w:val="00377B05"/>
    <w:rsid w:val="0038599A"/>
    <w:rsid w:val="003905E3"/>
    <w:rsid w:val="00392074"/>
    <w:rsid w:val="003934AA"/>
    <w:rsid w:val="00393B56"/>
    <w:rsid w:val="003963FB"/>
    <w:rsid w:val="003A1DB5"/>
    <w:rsid w:val="003A2968"/>
    <w:rsid w:val="003A655F"/>
    <w:rsid w:val="003A76CE"/>
    <w:rsid w:val="003A7800"/>
    <w:rsid w:val="003B24FF"/>
    <w:rsid w:val="003C0087"/>
    <w:rsid w:val="003C0F7F"/>
    <w:rsid w:val="003C1835"/>
    <w:rsid w:val="003C2750"/>
    <w:rsid w:val="003C3C14"/>
    <w:rsid w:val="003C5B21"/>
    <w:rsid w:val="003D09D7"/>
    <w:rsid w:val="003D4627"/>
    <w:rsid w:val="003D4A5D"/>
    <w:rsid w:val="003D52B2"/>
    <w:rsid w:val="003D5597"/>
    <w:rsid w:val="003E0186"/>
    <w:rsid w:val="003E3280"/>
    <w:rsid w:val="003E3565"/>
    <w:rsid w:val="003E3CE7"/>
    <w:rsid w:val="003E488E"/>
    <w:rsid w:val="003E6AB1"/>
    <w:rsid w:val="003E6E1C"/>
    <w:rsid w:val="003E7945"/>
    <w:rsid w:val="003E7F88"/>
    <w:rsid w:val="003F1361"/>
    <w:rsid w:val="003F138A"/>
    <w:rsid w:val="003F1BE3"/>
    <w:rsid w:val="003F2078"/>
    <w:rsid w:val="003F4C9E"/>
    <w:rsid w:val="003F5662"/>
    <w:rsid w:val="003F6737"/>
    <w:rsid w:val="003F7BCB"/>
    <w:rsid w:val="00403629"/>
    <w:rsid w:val="004059A6"/>
    <w:rsid w:val="004139EE"/>
    <w:rsid w:val="0041460F"/>
    <w:rsid w:val="00415039"/>
    <w:rsid w:val="004153F5"/>
    <w:rsid w:val="00417321"/>
    <w:rsid w:val="0042496E"/>
    <w:rsid w:val="00425B94"/>
    <w:rsid w:val="00425C6A"/>
    <w:rsid w:val="00426FCA"/>
    <w:rsid w:val="00427628"/>
    <w:rsid w:val="00431EB1"/>
    <w:rsid w:val="0043505F"/>
    <w:rsid w:val="00440A75"/>
    <w:rsid w:val="00443137"/>
    <w:rsid w:val="00443F48"/>
    <w:rsid w:val="004442A2"/>
    <w:rsid w:val="00444AAA"/>
    <w:rsid w:val="0044639A"/>
    <w:rsid w:val="00447DAF"/>
    <w:rsid w:val="00452997"/>
    <w:rsid w:val="0045362C"/>
    <w:rsid w:val="00455702"/>
    <w:rsid w:val="00456B53"/>
    <w:rsid w:val="00457BE1"/>
    <w:rsid w:val="00462532"/>
    <w:rsid w:val="004707FB"/>
    <w:rsid w:val="0047541F"/>
    <w:rsid w:val="00475E7F"/>
    <w:rsid w:val="00476D92"/>
    <w:rsid w:val="00477C4A"/>
    <w:rsid w:val="00482F4B"/>
    <w:rsid w:val="004844E8"/>
    <w:rsid w:val="00484A7B"/>
    <w:rsid w:val="00490221"/>
    <w:rsid w:val="004917DA"/>
    <w:rsid w:val="0049184C"/>
    <w:rsid w:val="004925D4"/>
    <w:rsid w:val="004936A0"/>
    <w:rsid w:val="0049412D"/>
    <w:rsid w:val="00494789"/>
    <w:rsid w:val="004A4C57"/>
    <w:rsid w:val="004B073C"/>
    <w:rsid w:val="004B235F"/>
    <w:rsid w:val="004B2698"/>
    <w:rsid w:val="004B3580"/>
    <w:rsid w:val="004B48D6"/>
    <w:rsid w:val="004C10CF"/>
    <w:rsid w:val="004D0778"/>
    <w:rsid w:val="004D0A46"/>
    <w:rsid w:val="004D1992"/>
    <w:rsid w:val="004D4142"/>
    <w:rsid w:val="004D58BE"/>
    <w:rsid w:val="004D79CC"/>
    <w:rsid w:val="004D79D7"/>
    <w:rsid w:val="004E13FE"/>
    <w:rsid w:val="004E210A"/>
    <w:rsid w:val="004E3A41"/>
    <w:rsid w:val="004E5024"/>
    <w:rsid w:val="004E5677"/>
    <w:rsid w:val="004E5FF9"/>
    <w:rsid w:val="004F038E"/>
    <w:rsid w:val="004F67A9"/>
    <w:rsid w:val="00500448"/>
    <w:rsid w:val="00502E4B"/>
    <w:rsid w:val="00507115"/>
    <w:rsid w:val="0051185F"/>
    <w:rsid w:val="00511A43"/>
    <w:rsid w:val="00511C8F"/>
    <w:rsid w:val="00511FF9"/>
    <w:rsid w:val="00512FA3"/>
    <w:rsid w:val="005139B7"/>
    <w:rsid w:val="005151B5"/>
    <w:rsid w:val="005172CC"/>
    <w:rsid w:val="0052384A"/>
    <w:rsid w:val="00523CBD"/>
    <w:rsid w:val="0052595A"/>
    <w:rsid w:val="00525E5A"/>
    <w:rsid w:val="00526069"/>
    <w:rsid w:val="00526FC1"/>
    <w:rsid w:val="00527930"/>
    <w:rsid w:val="00534863"/>
    <w:rsid w:val="005353C3"/>
    <w:rsid w:val="00536EEC"/>
    <w:rsid w:val="00537B6E"/>
    <w:rsid w:val="005460CE"/>
    <w:rsid w:val="0055542D"/>
    <w:rsid w:val="005600E3"/>
    <w:rsid w:val="00567688"/>
    <w:rsid w:val="005721F5"/>
    <w:rsid w:val="00574167"/>
    <w:rsid w:val="005741B8"/>
    <w:rsid w:val="00577885"/>
    <w:rsid w:val="005806E5"/>
    <w:rsid w:val="00586D6C"/>
    <w:rsid w:val="005875EA"/>
    <w:rsid w:val="0059331B"/>
    <w:rsid w:val="005950FD"/>
    <w:rsid w:val="005A040F"/>
    <w:rsid w:val="005A11B7"/>
    <w:rsid w:val="005A406B"/>
    <w:rsid w:val="005A579D"/>
    <w:rsid w:val="005A5826"/>
    <w:rsid w:val="005A672F"/>
    <w:rsid w:val="005B215B"/>
    <w:rsid w:val="005C3EAF"/>
    <w:rsid w:val="005C462D"/>
    <w:rsid w:val="005C6680"/>
    <w:rsid w:val="005C74DC"/>
    <w:rsid w:val="005D4594"/>
    <w:rsid w:val="005D6534"/>
    <w:rsid w:val="005D70A3"/>
    <w:rsid w:val="005E0BE9"/>
    <w:rsid w:val="005E23CD"/>
    <w:rsid w:val="005E3597"/>
    <w:rsid w:val="005E4A04"/>
    <w:rsid w:val="005E5506"/>
    <w:rsid w:val="005E570B"/>
    <w:rsid w:val="005F1138"/>
    <w:rsid w:val="005F6CE2"/>
    <w:rsid w:val="00601BCB"/>
    <w:rsid w:val="00606891"/>
    <w:rsid w:val="00607163"/>
    <w:rsid w:val="00613F04"/>
    <w:rsid w:val="00614A57"/>
    <w:rsid w:val="006210C5"/>
    <w:rsid w:val="0062187F"/>
    <w:rsid w:val="006278A3"/>
    <w:rsid w:val="00634320"/>
    <w:rsid w:val="00640515"/>
    <w:rsid w:val="00640584"/>
    <w:rsid w:val="00641B72"/>
    <w:rsid w:val="00642F77"/>
    <w:rsid w:val="00647489"/>
    <w:rsid w:val="006544DD"/>
    <w:rsid w:val="00660DEA"/>
    <w:rsid w:val="00662AB8"/>
    <w:rsid w:val="00663F1E"/>
    <w:rsid w:val="00665C98"/>
    <w:rsid w:val="00665EF2"/>
    <w:rsid w:val="00667288"/>
    <w:rsid w:val="00670AF3"/>
    <w:rsid w:val="006713E6"/>
    <w:rsid w:val="006719C6"/>
    <w:rsid w:val="00671F80"/>
    <w:rsid w:val="00674FC3"/>
    <w:rsid w:val="00677521"/>
    <w:rsid w:val="00681560"/>
    <w:rsid w:val="00692C08"/>
    <w:rsid w:val="006947EF"/>
    <w:rsid w:val="0069744D"/>
    <w:rsid w:val="006A2BBF"/>
    <w:rsid w:val="006A3678"/>
    <w:rsid w:val="006A3CCE"/>
    <w:rsid w:val="006A4CB1"/>
    <w:rsid w:val="006B4C89"/>
    <w:rsid w:val="006B667B"/>
    <w:rsid w:val="006B7133"/>
    <w:rsid w:val="006C0400"/>
    <w:rsid w:val="006C47F3"/>
    <w:rsid w:val="006C72E3"/>
    <w:rsid w:val="006C7B9E"/>
    <w:rsid w:val="006D28AE"/>
    <w:rsid w:val="006D39B3"/>
    <w:rsid w:val="006D3E5E"/>
    <w:rsid w:val="006D42A5"/>
    <w:rsid w:val="006E1CA0"/>
    <w:rsid w:val="006E442C"/>
    <w:rsid w:val="006E48E4"/>
    <w:rsid w:val="006E4A50"/>
    <w:rsid w:val="006E4BFE"/>
    <w:rsid w:val="006E58CD"/>
    <w:rsid w:val="006F3096"/>
    <w:rsid w:val="006F3559"/>
    <w:rsid w:val="00706E9E"/>
    <w:rsid w:val="00725872"/>
    <w:rsid w:val="00726C7D"/>
    <w:rsid w:val="00726D63"/>
    <w:rsid w:val="00726D99"/>
    <w:rsid w:val="0072718E"/>
    <w:rsid w:val="00727359"/>
    <w:rsid w:val="00732A34"/>
    <w:rsid w:val="00734DEB"/>
    <w:rsid w:val="00741766"/>
    <w:rsid w:val="00741897"/>
    <w:rsid w:val="00746260"/>
    <w:rsid w:val="00751AA7"/>
    <w:rsid w:val="00752765"/>
    <w:rsid w:val="0075329C"/>
    <w:rsid w:val="00754656"/>
    <w:rsid w:val="00754D1E"/>
    <w:rsid w:val="00757B91"/>
    <w:rsid w:val="00761B1E"/>
    <w:rsid w:val="00762693"/>
    <w:rsid w:val="007635C8"/>
    <w:rsid w:val="00764F1D"/>
    <w:rsid w:val="007650C6"/>
    <w:rsid w:val="007657B6"/>
    <w:rsid w:val="00765C90"/>
    <w:rsid w:val="00770BDD"/>
    <w:rsid w:val="00774311"/>
    <w:rsid w:val="00780DB7"/>
    <w:rsid w:val="00784182"/>
    <w:rsid w:val="00784461"/>
    <w:rsid w:val="00796C10"/>
    <w:rsid w:val="00797433"/>
    <w:rsid w:val="007A428E"/>
    <w:rsid w:val="007A42B8"/>
    <w:rsid w:val="007A4966"/>
    <w:rsid w:val="007A4C83"/>
    <w:rsid w:val="007A56AB"/>
    <w:rsid w:val="007A7AD0"/>
    <w:rsid w:val="007B1F9B"/>
    <w:rsid w:val="007B423D"/>
    <w:rsid w:val="007B6919"/>
    <w:rsid w:val="007C0251"/>
    <w:rsid w:val="007C2930"/>
    <w:rsid w:val="007C5DD1"/>
    <w:rsid w:val="007D3C8C"/>
    <w:rsid w:val="007D55D4"/>
    <w:rsid w:val="007E0EE1"/>
    <w:rsid w:val="007E0F86"/>
    <w:rsid w:val="007E5D64"/>
    <w:rsid w:val="007E7B62"/>
    <w:rsid w:val="007E7D3E"/>
    <w:rsid w:val="007F0045"/>
    <w:rsid w:val="007F0A0C"/>
    <w:rsid w:val="007F3AB7"/>
    <w:rsid w:val="007F4BBB"/>
    <w:rsid w:val="007F5636"/>
    <w:rsid w:val="008003E9"/>
    <w:rsid w:val="00801F6F"/>
    <w:rsid w:val="0080518C"/>
    <w:rsid w:val="00805906"/>
    <w:rsid w:val="00806CEF"/>
    <w:rsid w:val="008133DF"/>
    <w:rsid w:val="00813666"/>
    <w:rsid w:val="00815A05"/>
    <w:rsid w:val="00816E11"/>
    <w:rsid w:val="00817269"/>
    <w:rsid w:val="00817946"/>
    <w:rsid w:val="00823F61"/>
    <w:rsid w:val="00824286"/>
    <w:rsid w:val="00825A1D"/>
    <w:rsid w:val="00836325"/>
    <w:rsid w:val="00836EC5"/>
    <w:rsid w:val="0083708E"/>
    <w:rsid w:val="00841C14"/>
    <w:rsid w:val="0084487C"/>
    <w:rsid w:val="00845C8E"/>
    <w:rsid w:val="00846EBC"/>
    <w:rsid w:val="00847678"/>
    <w:rsid w:val="008544C3"/>
    <w:rsid w:val="008546B1"/>
    <w:rsid w:val="008626C0"/>
    <w:rsid w:val="008720F7"/>
    <w:rsid w:val="0087233C"/>
    <w:rsid w:val="00872E29"/>
    <w:rsid w:val="00872EA0"/>
    <w:rsid w:val="008732A8"/>
    <w:rsid w:val="00873D4F"/>
    <w:rsid w:val="00876128"/>
    <w:rsid w:val="008803CD"/>
    <w:rsid w:val="0088243D"/>
    <w:rsid w:val="00882B2F"/>
    <w:rsid w:val="00882C2D"/>
    <w:rsid w:val="0089002A"/>
    <w:rsid w:val="0089333F"/>
    <w:rsid w:val="0089399A"/>
    <w:rsid w:val="008962EF"/>
    <w:rsid w:val="00897349"/>
    <w:rsid w:val="008A53B6"/>
    <w:rsid w:val="008A5484"/>
    <w:rsid w:val="008B2863"/>
    <w:rsid w:val="008B3408"/>
    <w:rsid w:val="008B3A9F"/>
    <w:rsid w:val="008B60EF"/>
    <w:rsid w:val="008C0615"/>
    <w:rsid w:val="008C0C12"/>
    <w:rsid w:val="008C43F7"/>
    <w:rsid w:val="008C4955"/>
    <w:rsid w:val="008D01D7"/>
    <w:rsid w:val="008D14E6"/>
    <w:rsid w:val="008D1733"/>
    <w:rsid w:val="008D2C05"/>
    <w:rsid w:val="008D34E1"/>
    <w:rsid w:val="008D6058"/>
    <w:rsid w:val="008D69A0"/>
    <w:rsid w:val="008E17BD"/>
    <w:rsid w:val="008E5D89"/>
    <w:rsid w:val="008E5DD6"/>
    <w:rsid w:val="008E6ED8"/>
    <w:rsid w:val="008F0379"/>
    <w:rsid w:val="008F453A"/>
    <w:rsid w:val="0090628C"/>
    <w:rsid w:val="00906FEC"/>
    <w:rsid w:val="0091097E"/>
    <w:rsid w:val="00911EE1"/>
    <w:rsid w:val="00915395"/>
    <w:rsid w:val="0091663E"/>
    <w:rsid w:val="00920C5F"/>
    <w:rsid w:val="00922367"/>
    <w:rsid w:val="00922A7B"/>
    <w:rsid w:val="00923279"/>
    <w:rsid w:val="00925CA7"/>
    <w:rsid w:val="00926D4D"/>
    <w:rsid w:val="0093005B"/>
    <w:rsid w:val="00930074"/>
    <w:rsid w:val="00931D95"/>
    <w:rsid w:val="009320CF"/>
    <w:rsid w:val="00935053"/>
    <w:rsid w:val="009425CF"/>
    <w:rsid w:val="00943580"/>
    <w:rsid w:val="00957C8A"/>
    <w:rsid w:val="00957D0E"/>
    <w:rsid w:val="00962B6D"/>
    <w:rsid w:val="0096543C"/>
    <w:rsid w:val="00965B61"/>
    <w:rsid w:val="00966CBB"/>
    <w:rsid w:val="00976583"/>
    <w:rsid w:val="00977A45"/>
    <w:rsid w:val="00981321"/>
    <w:rsid w:val="00981D86"/>
    <w:rsid w:val="009854CF"/>
    <w:rsid w:val="00987482"/>
    <w:rsid w:val="00995B41"/>
    <w:rsid w:val="00996057"/>
    <w:rsid w:val="009976B6"/>
    <w:rsid w:val="009A0D4C"/>
    <w:rsid w:val="009A19F9"/>
    <w:rsid w:val="009A21A4"/>
    <w:rsid w:val="009A3484"/>
    <w:rsid w:val="009A5FC3"/>
    <w:rsid w:val="009B09DC"/>
    <w:rsid w:val="009B2AB1"/>
    <w:rsid w:val="009C005B"/>
    <w:rsid w:val="009C5C9B"/>
    <w:rsid w:val="009C6954"/>
    <w:rsid w:val="009D037E"/>
    <w:rsid w:val="009D0CB3"/>
    <w:rsid w:val="009E1890"/>
    <w:rsid w:val="009E2C20"/>
    <w:rsid w:val="009F1B5F"/>
    <w:rsid w:val="009F2C47"/>
    <w:rsid w:val="009F40AF"/>
    <w:rsid w:val="009F5846"/>
    <w:rsid w:val="009F762B"/>
    <w:rsid w:val="009F7DDD"/>
    <w:rsid w:val="00A04A1C"/>
    <w:rsid w:val="00A0529D"/>
    <w:rsid w:val="00A11E71"/>
    <w:rsid w:val="00A12437"/>
    <w:rsid w:val="00A15A86"/>
    <w:rsid w:val="00A2184E"/>
    <w:rsid w:val="00A2407B"/>
    <w:rsid w:val="00A250EA"/>
    <w:rsid w:val="00A258BE"/>
    <w:rsid w:val="00A31CF7"/>
    <w:rsid w:val="00A3726E"/>
    <w:rsid w:val="00A41496"/>
    <w:rsid w:val="00A50FE0"/>
    <w:rsid w:val="00A5268A"/>
    <w:rsid w:val="00A52E37"/>
    <w:rsid w:val="00A542BB"/>
    <w:rsid w:val="00A619B4"/>
    <w:rsid w:val="00A61EC9"/>
    <w:rsid w:val="00A67875"/>
    <w:rsid w:val="00A7289E"/>
    <w:rsid w:val="00A74288"/>
    <w:rsid w:val="00A76AB7"/>
    <w:rsid w:val="00A76AF3"/>
    <w:rsid w:val="00A76B11"/>
    <w:rsid w:val="00A81F78"/>
    <w:rsid w:val="00A835E4"/>
    <w:rsid w:val="00A840E8"/>
    <w:rsid w:val="00A8430C"/>
    <w:rsid w:val="00A861FF"/>
    <w:rsid w:val="00A87E32"/>
    <w:rsid w:val="00A93225"/>
    <w:rsid w:val="00A94118"/>
    <w:rsid w:val="00AA2B15"/>
    <w:rsid w:val="00AA3732"/>
    <w:rsid w:val="00AA45D2"/>
    <w:rsid w:val="00AA590D"/>
    <w:rsid w:val="00AB1808"/>
    <w:rsid w:val="00AB190A"/>
    <w:rsid w:val="00AB312B"/>
    <w:rsid w:val="00AB320D"/>
    <w:rsid w:val="00AB323E"/>
    <w:rsid w:val="00AB5509"/>
    <w:rsid w:val="00AB582F"/>
    <w:rsid w:val="00AC049A"/>
    <w:rsid w:val="00AC4143"/>
    <w:rsid w:val="00AC4657"/>
    <w:rsid w:val="00AC4921"/>
    <w:rsid w:val="00AD1343"/>
    <w:rsid w:val="00AD2B15"/>
    <w:rsid w:val="00AE5FDB"/>
    <w:rsid w:val="00AE760E"/>
    <w:rsid w:val="00AE7CAA"/>
    <w:rsid w:val="00AF4FBC"/>
    <w:rsid w:val="00AF6502"/>
    <w:rsid w:val="00B01E0F"/>
    <w:rsid w:val="00B026C6"/>
    <w:rsid w:val="00B05920"/>
    <w:rsid w:val="00B07F51"/>
    <w:rsid w:val="00B12482"/>
    <w:rsid w:val="00B14306"/>
    <w:rsid w:val="00B14788"/>
    <w:rsid w:val="00B14841"/>
    <w:rsid w:val="00B150D3"/>
    <w:rsid w:val="00B16EAB"/>
    <w:rsid w:val="00B21914"/>
    <w:rsid w:val="00B23562"/>
    <w:rsid w:val="00B23E40"/>
    <w:rsid w:val="00B274AB"/>
    <w:rsid w:val="00B31B62"/>
    <w:rsid w:val="00B33DE3"/>
    <w:rsid w:val="00B37ACA"/>
    <w:rsid w:val="00B410D3"/>
    <w:rsid w:val="00B41152"/>
    <w:rsid w:val="00B42D5E"/>
    <w:rsid w:val="00B47F1D"/>
    <w:rsid w:val="00B50C83"/>
    <w:rsid w:val="00B52AE9"/>
    <w:rsid w:val="00B54E2D"/>
    <w:rsid w:val="00B56021"/>
    <w:rsid w:val="00B63F90"/>
    <w:rsid w:val="00B6472B"/>
    <w:rsid w:val="00B66FF0"/>
    <w:rsid w:val="00B6701B"/>
    <w:rsid w:val="00B67D96"/>
    <w:rsid w:val="00B70A42"/>
    <w:rsid w:val="00B751CA"/>
    <w:rsid w:val="00B767A5"/>
    <w:rsid w:val="00B80D24"/>
    <w:rsid w:val="00B82941"/>
    <w:rsid w:val="00B83A02"/>
    <w:rsid w:val="00B858EF"/>
    <w:rsid w:val="00B8651E"/>
    <w:rsid w:val="00B865DC"/>
    <w:rsid w:val="00B866C7"/>
    <w:rsid w:val="00B87C35"/>
    <w:rsid w:val="00B903DB"/>
    <w:rsid w:val="00B96E6B"/>
    <w:rsid w:val="00B97562"/>
    <w:rsid w:val="00BA04C1"/>
    <w:rsid w:val="00BA3171"/>
    <w:rsid w:val="00BA5952"/>
    <w:rsid w:val="00BA5C6F"/>
    <w:rsid w:val="00BA7D49"/>
    <w:rsid w:val="00BB4DB0"/>
    <w:rsid w:val="00BB522F"/>
    <w:rsid w:val="00BB6F7D"/>
    <w:rsid w:val="00BC12DF"/>
    <w:rsid w:val="00BC3C14"/>
    <w:rsid w:val="00BC6561"/>
    <w:rsid w:val="00BD1513"/>
    <w:rsid w:val="00BD17B0"/>
    <w:rsid w:val="00BD1B20"/>
    <w:rsid w:val="00BD35CD"/>
    <w:rsid w:val="00BD52A6"/>
    <w:rsid w:val="00BD5458"/>
    <w:rsid w:val="00BD5D3D"/>
    <w:rsid w:val="00BD789C"/>
    <w:rsid w:val="00BE0E83"/>
    <w:rsid w:val="00BE243F"/>
    <w:rsid w:val="00BE2B45"/>
    <w:rsid w:val="00BE44D5"/>
    <w:rsid w:val="00BE4667"/>
    <w:rsid w:val="00BE6778"/>
    <w:rsid w:val="00BE7FF2"/>
    <w:rsid w:val="00BF12F5"/>
    <w:rsid w:val="00BF552C"/>
    <w:rsid w:val="00C02BC1"/>
    <w:rsid w:val="00C0479A"/>
    <w:rsid w:val="00C04E47"/>
    <w:rsid w:val="00C050B8"/>
    <w:rsid w:val="00C05DAA"/>
    <w:rsid w:val="00C0639B"/>
    <w:rsid w:val="00C11739"/>
    <w:rsid w:val="00C1218A"/>
    <w:rsid w:val="00C12502"/>
    <w:rsid w:val="00C12F21"/>
    <w:rsid w:val="00C1378E"/>
    <w:rsid w:val="00C14CDC"/>
    <w:rsid w:val="00C15F06"/>
    <w:rsid w:val="00C160EC"/>
    <w:rsid w:val="00C17D58"/>
    <w:rsid w:val="00C17F52"/>
    <w:rsid w:val="00C22E58"/>
    <w:rsid w:val="00C26DA5"/>
    <w:rsid w:val="00C30E75"/>
    <w:rsid w:val="00C31564"/>
    <w:rsid w:val="00C32ED6"/>
    <w:rsid w:val="00C35162"/>
    <w:rsid w:val="00C36385"/>
    <w:rsid w:val="00C37C8A"/>
    <w:rsid w:val="00C41461"/>
    <w:rsid w:val="00C4165F"/>
    <w:rsid w:val="00C42A70"/>
    <w:rsid w:val="00C42D41"/>
    <w:rsid w:val="00C44BD6"/>
    <w:rsid w:val="00C46EE1"/>
    <w:rsid w:val="00C500B4"/>
    <w:rsid w:val="00C504C6"/>
    <w:rsid w:val="00C50801"/>
    <w:rsid w:val="00C508BB"/>
    <w:rsid w:val="00C5296F"/>
    <w:rsid w:val="00C61152"/>
    <w:rsid w:val="00C612D6"/>
    <w:rsid w:val="00C615D0"/>
    <w:rsid w:val="00C619FA"/>
    <w:rsid w:val="00C624EE"/>
    <w:rsid w:val="00C63B7A"/>
    <w:rsid w:val="00C6502E"/>
    <w:rsid w:val="00C67C14"/>
    <w:rsid w:val="00C72EB7"/>
    <w:rsid w:val="00C74F9A"/>
    <w:rsid w:val="00C760FD"/>
    <w:rsid w:val="00C816A4"/>
    <w:rsid w:val="00C850AE"/>
    <w:rsid w:val="00C85FA6"/>
    <w:rsid w:val="00C91369"/>
    <w:rsid w:val="00CA06B7"/>
    <w:rsid w:val="00CA2B18"/>
    <w:rsid w:val="00CA3AF8"/>
    <w:rsid w:val="00CA3F75"/>
    <w:rsid w:val="00CA6B2B"/>
    <w:rsid w:val="00CA6F7D"/>
    <w:rsid w:val="00CB0122"/>
    <w:rsid w:val="00CB1844"/>
    <w:rsid w:val="00CB290F"/>
    <w:rsid w:val="00CB43A0"/>
    <w:rsid w:val="00CB4658"/>
    <w:rsid w:val="00CC1A09"/>
    <w:rsid w:val="00CC33E4"/>
    <w:rsid w:val="00CC35CB"/>
    <w:rsid w:val="00CC50AB"/>
    <w:rsid w:val="00CC6AE0"/>
    <w:rsid w:val="00CD01F9"/>
    <w:rsid w:val="00CD05DC"/>
    <w:rsid w:val="00CD2594"/>
    <w:rsid w:val="00CD7BC5"/>
    <w:rsid w:val="00CE05F1"/>
    <w:rsid w:val="00CE0854"/>
    <w:rsid w:val="00CE0ABB"/>
    <w:rsid w:val="00CE0D87"/>
    <w:rsid w:val="00CE2BF1"/>
    <w:rsid w:val="00CE42ED"/>
    <w:rsid w:val="00CF1D33"/>
    <w:rsid w:val="00CF4EB6"/>
    <w:rsid w:val="00D0005B"/>
    <w:rsid w:val="00D01B17"/>
    <w:rsid w:val="00D02C3B"/>
    <w:rsid w:val="00D03D22"/>
    <w:rsid w:val="00D04A2C"/>
    <w:rsid w:val="00D1033B"/>
    <w:rsid w:val="00D1200C"/>
    <w:rsid w:val="00D12FB7"/>
    <w:rsid w:val="00D13729"/>
    <w:rsid w:val="00D13C7D"/>
    <w:rsid w:val="00D14B44"/>
    <w:rsid w:val="00D15C74"/>
    <w:rsid w:val="00D15D5D"/>
    <w:rsid w:val="00D202FB"/>
    <w:rsid w:val="00D20416"/>
    <w:rsid w:val="00D20CD9"/>
    <w:rsid w:val="00D2598A"/>
    <w:rsid w:val="00D309DB"/>
    <w:rsid w:val="00D313CB"/>
    <w:rsid w:val="00D3324D"/>
    <w:rsid w:val="00D353A8"/>
    <w:rsid w:val="00D35427"/>
    <w:rsid w:val="00D407AD"/>
    <w:rsid w:val="00D45CA3"/>
    <w:rsid w:val="00D47189"/>
    <w:rsid w:val="00D50C3A"/>
    <w:rsid w:val="00D529CB"/>
    <w:rsid w:val="00D53011"/>
    <w:rsid w:val="00D53C68"/>
    <w:rsid w:val="00D56CFA"/>
    <w:rsid w:val="00D5717A"/>
    <w:rsid w:val="00D600AB"/>
    <w:rsid w:val="00D6211F"/>
    <w:rsid w:val="00D62A0A"/>
    <w:rsid w:val="00D62B50"/>
    <w:rsid w:val="00D65B2A"/>
    <w:rsid w:val="00D65BDE"/>
    <w:rsid w:val="00D660A3"/>
    <w:rsid w:val="00D669B8"/>
    <w:rsid w:val="00D67D93"/>
    <w:rsid w:val="00D71111"/>
    <w:rsid w:val="00D86732"/>
    <w:rsid w:val="00D87602"/>
    <w:rsid w:val="00D90133"/>
    <w:rsid w:val="00D90699"/>
    <w:rsid w:val="00D92D4F"/>
    <w:rsid w:val="00D93E1F"/>
    <w:rsid w:val="00D97381"/>
    <w:rsid w:val="00D974F6"/>
    <w:rsid w:val="00DA0361"/>
    <w:rsid w:val="00DA1013"/>
    <w:rsid w:val="00DA2C16"/>
    <w:rsid w:val="00DA75CE"/>
    <w:rsid w:val="00DB7618"/>
    <w:rsid w:val="00DD077B"/>
    <w:rsid w:val="00DD21F2"/>
    <w:rsid w:val="00DD31CB"/>
    <w:rsid w:val="00DD585F"/>
    <w:rsid w:val="00DE4255"/>
    <w:rsid w:val="00DF01D8"/>
    <w:rsid w:val="00DF3FCB"/>
    <w:rsid w:val="00DF5A4E"/>
    <w:rsid w:val="00DF77FD"/>
    <w:rsid w:val="00E0021F"/>
    <w:rsid w:val="00E01521"/>
    <w:rsid w:val="00E01AB5"/>
    <w:rsid w:val="00E101E6"/>
    <w:rsid w:val="00E12FFA"/>
    <w:rsid w:val="00E20E29"/>
    <w:rsid w:val="00E246E2"/>
    <w:rsid w:val="00E251CB"/>
    <w:rsid w:val="00E26182"/>
    <w:rsid w:val="00E26355"/>
    <w:rsid w:val="00E263EB"/>
    <w:rsid w:val="00E27B3D"/>
    <w:rsid w:val="00E31AC8"/>
    <w:rsid w:val="00E31C88"/>
    <w:rsid w:val="00E34138"/>
    <w:rsid w:val="00E35DC8"/>
    <w:rsid w:val="00E41575"/>
    <w:rsid w:val="00E47A3F"/>
    <w:rsid w:val="00E5745C"/>
    <w:rsid w:val="00E60E93"/>
    <w:rsid w:val="00E62860"/>
    <w:rsid w:val="00E62D4E"/>
    <w:rsid w:val="00E64FF7"/>
    <w:rsid w:val="00E70229"/>
    <w:rsid w:val="00E70378"/>
    <w:rsid w:val="00E70987"/>
    <w:rsid w:val="00E72DCE"/>
    <w:rsid w:val="00E763AC"/>
    <w:rsid w:val="00E771DA"/>
    <w:rsid w:val="00E77425"/>
    <w:rsid w:val="00E77D6E"/>
    <w:rsid w:val="00E8078E"/>
    <w:rsid w:val="00E82A21"/>
    <w:rsid w:val="00E85598"/>
    <w:rsid w:val="00E9226B"/>
    <w:rsid w:val="00EA04F1"/>
    <w:rsid w:val="00EA3BBB"/>
    <w:rsid w:val="00EA50E2"/>
    <w:rsid w:val="00EA727C"/>
    <w:rsid w:val="00EA7994"/>
    <w:rsid w:val="00EB395D"/>
    <w:rsid w:val="00EB6567"/>
    <w:rsid w:val="00EC0F48"/>
    <w:rsid w:val="00EC1064"/>
    <w:rsid w:val="00EC2A3B"/>
    <w:rsid w:val="00EC34F2"/>
    <w:rsid w:val="00EC3F33"/>
    <w:rsid w:val="00EC3FF0"/>
    <w:rsid w:val="00EC7173"/>
    <w:rsid w:val="00ED1B6C"/>
    <w:rsid w:val="00ED1BD6"/>
    <w:rsid w:val="00ED43E5"/>
    <w:rsid w:val="00ED774A"/>
    <w:rsid w:val="00EE2088"/>
    <w:rsid w:val="00EE4EDC"/>
    <w:rsid w:val="00EE5234"/>
    <w:rsid w:val="00EE5B03"/>
    <w:rsid w:val="00EF24F6"/>
    <w:rsid w:val="00EF50CD"/>
    <w:rsid w:val="00F000E0"/>
    <w:rsid w:val="00F006D1"/>
    <w:rsid w:val="00F044A2"/>
    <w:rsid w:val="00F1403A"/>
    <w:rsid w:val="00F1493B"/>
    <w:rsid w:val="00F160D5"/>
    <w:rsid w:val="00F17282"/>
    <w:rsid w:val="00F17E4A"/>
    <w:rsid w:val="00F20BCD"/>
    <w:rsid w:val="00F215A8"/>
    <w:rsid w:val="00F26F40"/>
    <w:rsid w:val="00F350CC"/>
    <w:rsid w:val="00F35609"/>
    <w:rsid w:val="00F36B79"/>
    <w:rsid w:val="00F36B7F"/>
    <w:rsid w:val="00F370AB"/>
    <w:rsid w:val="00F40B7B"/>
    <w:rsid w:val="00F46EFB"/>
    <w:rsid w:val="00F47EFB"/>
    <w:rsid w:val="00F6074E"/>
    <w:rsid w:val="00F61773"/>
    <w:rsid w:val="00F62646"/>
    <w:rsid w:val="00F667B1"/>
    <w:rsid w:val="00F6718D"/>
    <w:rsid w:val="00F71B41"/>
    <w:rsid w:val="00F73C7B"/>
    <w:rsid w:val="00F747C7"/>
    <w:rsid w:val="00F75F40"/>
    <w:rsid w:val="00F814AB"/>
    <w:rsid w:val="00F823F8"/>
    <w:rsid w:val="00F82696"/>
    <w:rsid w:val="00F96871"/>
    <w:rsid w:val="00FA0EED"/>
    <w:rsid w:val="00FA0F49"/>
    <w:rsid w:val="00FA2287"/>
    <w:rsid w:val="00FA3D82"/>
    <w:rsid w:val="00FA4447"/>
    <w:rsid w:val="00FA62F0"/>
    <w:rsid w:val="00FA6B47"/>
    <w:rsid w:val="00FA6FF1"/>
    <w:rsid w:val="00FC321C"/>
    <w:rsid w:val="00FC5CA5"/>
    <w:rsid w:val="00FC6407"/>
    <w:rsid w:val="00FD21C1"/>
    <w:rsid w:val="00FD2F04"/>
    <w:rsid w:val="00FD78AF"/>
    <w:rsid w:val="00FE0616"/>
    <w:rsid w:val="00FE0A0B"/>
    <w:rsid w:val="00FE0A5C"/>
    <w:rsid w:val="00FE499A"/>
    <w:rsid w:val="00FE4B5F"/>
    <w:rsid w:val="00FE5098"/>
    <w:rsid w:val="00FF09A9"/>
    <w:rsid w:val="00FF3127"/>
    <w:rsid w:val="00FF4B13"/>
    <w:rsid w:val="00FF6466"/>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10D65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NewRomanPSMT" w:eastAsiaTheme="minorEastAsia" w:hAnsi="TimesNewRomanPSMT" w:cs="TimesNewRomanPSMT"/>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0">
    <w:name w:val="Normal"/>
    <w:uiPriority w:val="99"/>
    <w:rsid w:val="00BD5D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line="360" w:lineRule="auto"/>
    </w:pPr>
    <w:rPr>
      <w:sz w:val="24"/>
      <w:szCs w:val="22"/>
    </w:rPr>
  </w:style>
  <w:style w:type="paragraph" w:styleId="1">
    <w:name w:val="heading 1"/>
    <w:basedOn w:val="a0"/>
    <w:next w:val="a0"/>
    <w:link w:val="10"/>
    <w:uiPriority w:val="9"/>
    <w:qFormat/>
    <w:rsid w:val="00BD5D3D"/>
    <w:pPr>
      <w:keepNext/>
      <w:spacing w:before="360" w:after="90"/>
      <w:outlineLvl w:val="0"/>
    </w:pPr>
    <w:rPr>
      <w:rFonts w:ascii="Calibri" w:eastAsia="Times New Roman" w:hAnsi="Calibri" w:cs="Times New Roman"/>
      <w:b/>
      <w:bCs/>
      <w:kern w:val="32"/>
      <w:sz w:val="28"/>
      <w:szCs w:val="26"/>
    </w:rPr>
  </w:style>
  <w:style w:type="paragraph" w:styleId="2">
    <w:name w:val="heading 2"/>
    <w:basedOn w:val="a0"/>
    <w:next w:val="a0"/>
    <w:link w:val="20"/>
    <w:uiPriority w:val="9"/>
    <w:unhideWhenUsed/>
    <w:qFormat/>
    <w:rsid w:val="00BD5D3D"/>
    <w:pPr>
      <w:keepNext/>
      <w:spacing w:before="240" w:after="60"/>
      <w:outlineLvl w:val="1"/>
    </w:pPr>
    <w:rPr>
      <w:rFonts w:ascii="Calibri" w:eastAsia="Times New Roman" w:hAnsi="Calibri" w:cs="Times New Roman"/>
      <w:b/>
      <w:bCs/>
      <w:iCs/>
      <w:szCs w:val="26"/>
    </w:rPr>
  </w:style>
  <w:style w:type="paragraph" w:styleId="3">
    <w:name w:val="heading 3"/>
    <w:basedOn w:val="a0"/>
    <w:next w:val="a0"/>
    <w:link w:val="30"/>
    <w:uiPriority w:val="9"/>
    <w:unhideWhenUsed/>
    <w:qFormat/>
    <w:rsid w:val="00500448"/>
    <w:pPr>
      <w:keepNext/>
      <w:spacing w:after="60"/>
      <w:outlineLvl w:val="2"/>
    </w:pPr>
    <w:rPr>
      <w:rFonts w:ascii="Calibri" w:eastAsia="Times New Roman" w:hAnsi="Calibri" w:cs="Times New Roman"/>
      <w:b/>
      <w:bCs/>
      <w:i/>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Paragraph"/>
    <w:basedOn w:val="a0"/>
    <w:uiPriority w:val="34"/>
    <w:qFormat/>
    <w:rsid w:val="009D0CB3"/>
    <w:pPr>
      <w:numPr>
        <w:numId w:val="30"/>
      </w:numPr>
      <w:spacing w:before="40"/>
      <w:ind w:left="568" w:hanging="284"/>
    </w:pPr>
  </w:style>
  <w:style w:type="character" w:customStyle="1" w:styleId="10">
    <w:name w:val="标题 1 字符"/>
    <w:link w:val="1"/>
    <w:uiPriority w:val="9"/>
    <w:rsid w:val="00BD5D3D"/>
    <w:rPr>
      <w:rFonts w:ascii="Calibri" w:eastAsia="Times New Roman" w:hAnsi="Calibri" w:cs="Times New Roman"/>
      <w:b/>
      <w:bCs/>
      <w:kern w:val="32"/>
      <w:sz w:val="28"/>
      <w:szCs w:val="26"/>
    </w:rPr>
  </w:style>
  <w:style w:type="character" w:customStyle="1" w:styleId="20">
    <w:name w:val="标题 2 字符"/>
    <w:link w:val="2"/>
    <w:uiPriority w:val="9"/>
    <w:rsid w:val="00BD5D3D"/>
    <w:rPr>
      <w:rFonts w:ascii="Calibri" w:eastAsia="Times New Roman" w:hAnsi="Calibri" w:cs="Times New Roman"/>
      <w:b/>
      <w:bCs/>
      <w:iCs/>
      <w:sz w:val="24"/>
      <w:szCs w:val="26"/>
    </w:rPr>
  </w:style>
  <w:style w:type="character" w:customStyle="1" w:styleId="30">
    <w:name w:val="标题 3 字符"/>
    <w:link w:val="3"/>
    <w:uiPriority w:val="9"/>
    <w:rsid w:val="00500448"/>
    <w:rPr>
      <w:rFonts w:ascii="Calibri" w:eastAsia="Times New Roman" w:hAnsi="Calibri" w:cs="Times New Roman"/>
      <w:b/>
      <w:bCs/>
      <w:i/>
      <w:sz w:val="22"/>
      <w:szCs w:val="24"/>
    </w:rPr>
  </w:style>
  <w:style w:type="paragraph" w:styleId="a4">
    <w:name w:val="Balloon Text"/>
    <w:basedOn w:val="a0"/>
    <w:link w:val="a5"/>
    <w:uiPriority w:val="99"/>
    <w:semiHidden/>
    <w:unhideWhenUsed/>
    <w:rsid w:val="00BA04C1"/>
    <w:pPr>
      <w:spacing w:before="0" w:line="240" w:lineRule="auto"/>
    </w:pPr>
    <w:rPr>
      <w:rFonts w:ascii="Times New Roman" w:hAnsi="Times New Roman" w:cs="Times New Roman"/>
      <w:sz w:val="18"/>
      <w:szCs w:val="18"/>
    </w:rPr>
  </w:style>
  <w:style w:type="character" w:customStyle="1" w:styleId="a5">
    <w:name w:val="批注框文本 字符"/>
    <w:basedOn w:val="a1"/>
    <w:link w:val="a4"/>
    <w:uiPriority w:val="99"/>
    <w:semiHidden/>
    <w:rsid w:val="00BA04C1"/>
    <w:rPr>
      <w:rFonts w:ascii="Times New Roman" w:hAnsi="Times New Roman" w:cs="Times New Roman"/>
      <w:sz w:val="18"/>
      <w:szCs w:val="18"/>
    </w:rPr>
  </w:style>
  <w:style w:type="character" w:styleId="a6">
    <w:name w:val="annotation reference"/>
    <w:basedOn w:val="a1"/>
    <w:uiPriority w:val="99"/>
    <w:semiHidden/>
    <w:unhideWhenUsed/>
    <w:rsid w:val="00FE499A"/>
    <w:rPr>
      <w:sz w:val="16"/>
      <w:szCs w:val="16"/>
    </w:rPr>
  </w:style>
  <w:style w:type="paragraph" w:styleId="a7">
    <w:name w:val="annotation text"/>
    <w:basedOn w:val="a0"/>
    <w:link w:val="a8"/>
    <w:uiPriority w:val="99"/>
    <w:semiHidden/>
    <w:unhideWhenUsed/>
    <w:rsid w:val="00FE499A"/>
    <w:pPr>
      <w:spacing w:line="240" w:lineRule="auto"/>
    </w:pPr>
    <w:rPr>
      <w:sz w:val="20"/>
      <w:szCs w:val="20"/>
    </w:rPr>
  </w:style>
  <w:style w:type="character" w:customStyle="1" w:styleId="a8">
    <w:name w:val="批注文字 字符"/>
    <w:basedOn w:val="a1"/>
    <w:link w:val="a7"/>
    <w:uiPriority w:val="99"/>
    <w:semiHidden/>
    <w:rsid w:val="00FE499A"/>
  </w:style>
  <w:style w:type="paragraph" w:styleId="a9">
    <w:name w:val="annotation subject"/>
    <w:basedOn w:val="a7"/>
    <w:next w:val="a7"/>
    <w:link w:val="aa"/>
    <w:uiPriority w:val="99"/>
    <w:semiHidden/>
    <w:unhideWhenUsed/>
    <w:rsid w:val="00FE499A"/>
    <w:rPr>
      <w:b/>
      <w:bCs/>
    </w:rPr>
  </w:style>
  <w:style w:type="character" w:customStyle="1" w:styleId="aa">
    <w:name w:val="批注主题 字符"/>
    <w:basedOn w:val="a8"/>
    <w:link w:val="a9"/>
    <w:uiPriority w:val="99"/>
    <w:semiHidden/>
    <w:rsid w:val="00FE499A"/>
    <w:rPr>
      <w:b/>
      <w:bCs/>
    </w:rPr>
  </w:style>
  <w:style w:type="paragraph" w:styleId="ab">
    <w:name w:val="Revision"/>
    <w:hidden/>
    <w:uiPriority w:val="99"/>
    <w:semiHidden/>
    <w:rsid w:val="009B09DC"/>
    <w:rPr>
      <w:sz w:val="24"/>
      <w:szCs w:val="22"/>
    </w:rPr>
  </w:style>
  <w:style w:type="paragraph" w:styleId="ac">
    <w:name w:val="Document Map"/>
    <w:basedOn w:val="a0"/>
    <w:link w:val="ad"/>
    <w:uiPriority w:val="99"/>
    <w:semiHidden/>
    <w:unhideWhenUsed/>
    <w:rsid w:val="00977A45"/>
    <w:pPr>
      <w:spacing w:before="0" w:line="240" w:lineRule="auto"/>
    </w:pPr>
    <w:rPr>
      <w:rFonts w:ascii="Times New Roman" w:hAnsi="Times New Roman" w:cs="Times New Roman"/>
      <w:szCs w:val="24"/>
    </w:rPr>
  </w:style>
  <w:style w:type="character" w:customStyle="1" w:styleId="ad">
    <w:name w:val="文档结构图 字符"/>
    <w:basedOn w:val="a1"/>
    <w:link w:val="ac"/>
    <w:uiPriority w:val="99"/>
    <w:semiHidden/>
    <w:rsid w:val="00977A45"/>
    <w:rPr>
      <w:rFonts w:ascii="Times New Roman" w:hAnsi="Times New Roman" w:cs="Times New Roman"/>
      <w:sz w:val="24"/>
      <w:szCs w:val="24"/>
    </w:rPr>
  </w:style>
  <w:style w:type="table" w:styleId="ae">
    <w:name w:val="Table Grid"/>
    <w:basedOn w:val="a2"/>
    <w:uiPriority w:val="59"/>
    <w:rsid w:val="00112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0"/>
    <w:uiPriority w:val="99"/>
    <w:unhideWhenUsed/>
    <w:rsid w:val="005A582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before="100" w:beforeAutospacing="1" w:after="100" w:afterAutospacing="1" w:line="240" w:lineRule="auto"/>
    </w:pPr>
    <w:rPr>
      <w:rFonts w:ascii="Times New Roman" w:hAnsi="Times New Roman" w:cs="Times New Roman"/>
      <w:szCs w:val="24"/>
    </w:rPr>
  </w:style>
  <w:style w:type="character" w:styleId="af0">
    <w:name w:val="Placeholder Text"/>
    <w:basedOn w:val="a1"/>
    <w:uiPriority w:val="99"/>
    <w:semiHidden/>
    <w:rsid w:val="00365FE2"/>
    <w:rPr>
      <w:color w:val="808080"/>
    </w:rPr>
  </w:style>
  <w:style w:type="paragraph" w:styleId="af1">
    <w:name w:val="Title"/>
    <w:basedOn w:val="1"/>
    <w:next w:val="a0"/>
    <w:link w:val="af2"/>
    <w:uiPriority w:val="10"/>
    <w:qFormat/>
    <w:rsid w:val="00BD5D3D"/>
    <w:pPr>
      <w:spacing w:before="480" w:after="120"/>
    </w:pPr>
    <w:rPr>
      <w:sz w:val="32"/>
    </w:rPr>
  </w:style>
  <w:style w:type="character" w:customStyle="1" w:styleId="af2">
    <w:name w:val="标题 字符"/>
    <w:basedOn w:val="a1"/>
    <w:link w:val="af1"/>
    <w:uiPriority w:val="10"/>
    <w:rsid w:val="00BD5D3D"/>
    <w:rPr>
      <w:rFonts w:ascii="Calibri" w:eastAsia="Times New Roman" w:hAnsi="Calibri" w:cs="Times New Roman"/>
      <w:b/>
      <w:bCs/>
      <w:kern w:val="32"/>
      <w:sz w:val="32"/>
      <w:szCs w:val="26"/>
    </w:rPr>
  </w:style>
  <w:style w:type="paragraph" w:styleId="af3">
    <w:name w:val="Subtitle"/>
    <w:basedOn w:val="a0"/>
    <w:next w:val="a0"/>
    <w:link w:val="af4"/>
    <w:uiPriority w:val="11"/>
    <w:qFormat/>
    <w:rsid w:val="00440A75"/>
    <w:pPr>
      <w:numPr>
        <w:ilvl w:val="1"/>
      </w:numPr>
      <w:spacing w:after="160"/>
    </w:pPr>
    <w:rPr>
      <w:rFonts w:asciiTheme="minorHAnsi" w:hAnsiTheme="minorHAnsi" w:cstheme="minorBidi"/>
      <w:color w:val="5A5A5A" w:themeColor="text1" w:themeTint="A5"/>
      <w:spacing w:val="15"/>
    </w:rPr>
  </w:style>
  <w:style w:type="character" w:customStyle="1" w:styleId="af4">
    <w:name w:val="副标题 字符"/>
    <w:basedOn w:val="a1"/>
    <w:link w:val="af3"/>
    <w:uiPriority w:val="11"/>
    <w:rsid w:val="00440A75"/>
    <w:rPr>
      <w:rFonts w:asciiTheme="minorHAnsi" w:eastAsiaTheme="minorEastAsia" w:hAnsiTheme="minorHAnsi" w:cstheme="minorBidi"/>
      <w:color w:val="5A5A5A" w:themeColor="text1" w:themeTint="A5"/>
      <w:spacing w:val="15"/>
      <w:sz w:val="22"/>
      <w:szCs w:val="22"/>
    </w:rPr>
  </w:style>
  <w:style w:type="paragraph" w:styleId="af5">
    <w:name w:val="header"/>
    <w:basedOn w:val="a0"/>
    <w:link w:val="af6"/>
    <w:uiPriority w:val="99"/>
    <w:unhideWhenUsed/>
    <w:rsid w:val="00440A7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enter" w:pos="4513"/>
        <w:tab w:val="right" w:pos="9026"/>
      </w:tabs>
      <w:spacing w:before="0" w:line="240" w:lineRule="auto"/>
    </w:pPr>
  </w:style>
  <w:style w:type="character" w:customStyle="1" w:styleId="af6">
    <w:name w:val="页眉 字符"/>
    <w:basedOn w:val="a1"/>
    <w:link w:val="af5"/>
    <w:uiPriority w:val="99"/>
    <w:rsid w:val="00440A75"/>
    <w:rPr>
      <w:sz w:val="24"/>
      <w:szCs w:val="22"/>
    </w:rPr>
  </w:style>
  <w:style w:type="paragraph" w:styleId="af7">
    <w:name w:val="footer"/>
    <w:basedOn w:val="a0"/>
    <w:link w:val="af8"/>
    <w:uiPriority w:val="99"/>
    <w:unhideWhenUsed/>
    <w:rsid w:val="00440A7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center" w:pos="4513"/>
        <w:tab w:val="right" w:pos="9026"/>
      </w:tabs>
      <w:spacing w:before="0" w:line="240" w:lineRule="auto"/>
    </w:pPr>
  </w:style>
  <w:style w:type="character" w:customStyle="1" w:styleId="af8">
    <w:name w:val="页脚 字符"/>
    <w:basedOn w:val="a1"/>
    <w:link w:val="af7"/>
    <w:uiPriority w:val="99"/>
    <w:rsid w:val="00440A75"/>
    <w:rPr>
      <w:sz w:val="24"/>
      <w:szCs w:val="22"/>
    </w:rPr>
  </w:style>
  <w:style w:type="character" w:styleId="af9">
    <w:name w:val="Hyperlink"/>
    <w:basedOn w:val="a1"/>
    <w:uiPriority w:val="99"/>
    <w:unhideWhenUsed/>
    <w:rsid w:val="00AF4FBC"/>
    <w:rPr>
      <w:color w:val="0563C1" w:themeColor="hyperlink"/>
      <w:u w:val="single"/>
    </w:rPr>
  </w:style>
  <w:style w:type="character" w:styleId="afa">
    <w:name w:val="FollowedHyperlink"/>
    <w:basedOn w:val="a1"/>
    <w:uiPriority w:val="99"/>
    <w:semiHidden/>
    <w:unhideWhenUsed/>
    <w:rsid w:val="00CD7BC5"/>
    <w:rPr>
      <w:color w:val="954F72" w:themeColor="followedHyperlink"/>
      <w:u w:val="single"/>
    </w:rPr>
  </w:style>
  <w:style w:type="paragraph" w:styleId="afb">
    <w:name w:val="endnote text"/>
    <w:basedOn w:val="a0"/>
    <w:link w:val="afc"/>
    <w:uiPriority w:val="99"/>
    <w:unhideWhenUsed/>
    <w:rsid w:val="00500448"/>
    <w:pPr>
      <w:spacing w:before="0" w:line="240" w:lineRule="auto"/>
    </w:pPr>
    <w:rPr>
      <w:szCs w:val="24"/>
    </w:rPr>
  </w:style>
  <w:style w:type="character" w:customStyle="1" w:styleId="afc">
    <w:name w:val="尾注文本 字符"/>
    <w:basedOn w:val="a1"/>
    <w:link w:val="afb"/>
    <w:uiPriority w:val="99"/>
    <w:rsid w:val="00500448"/>
    <w:rPr>
      <w:sz w:val="24"/>
      <w:szCs w:val="24"/>
    </w:rPr>
  </w:style>
  <w:style w:type="character" w:styleId="afd">
    <w:name w:val="endnote reference"/>
    <w:basedOn w:val="a1"/>
    <w:uiPriority w:val="99"/>
    <w:unhideWhenUsed/>
    <w:rsid w:val="00500448"/>
    <w:rPr>
      <w:vertAlign w:val="superscript"/>
    </w:rPr>
  </w:style>
  <w:style w:type="character" w:styleId="afe">
    <w:name w:val="page number"/>
    <w:basedOn w:val="a1"/>
    <w:uiPriority w:val="99"/>
    <w:semiHidden/>
    <w:unhideWhenUsed/>
    <w:rsid w:val="00B01E0F"/>
  </w:style>
  <w:style w:type="paragraph" w:customStyle="1" w:styleId="Jens">
    <w:name w:val="Jens"/>
    <w:basedOn w:val="a0"/>
    <w:link w:val="JensChar"/>
    <w:uiPriority w:val="99"/>
    <w:qFormat/>
    <w:rsid w:val="003E7F88"/>
  </w:style>
  <w:style w:type="character" w:customStyle="1" w:styleId="JensChar">
    <w:name w:val="Jens Char"/>
    <w:basedOn w:val="a1"/>
    <w:link w:val="Jens"/>
    <w:uiPriority w:val="99"/>
    <w:rsid w:val="003E7F88"/>
    <w:rPr>
      <w:sz w:val="22"/>
      <w:szCs w:val="22"/>
    </w:rPr>
  </w:style>
  <w:style w:type="character" w:styleId="aff">
    <w:name w:val="Strong"/>
    <w:basedOn w:val="a1"/>
    <w:uiPriority w:val="22"/>
    <w:qFormat/>
    <w:rsid w:val="002152AF"/>
    <w:rPr>
      <w:b/>
      <w:bCs/>
    </w:rPr>
  </w:style>
  <w:style w:type="character" w:styleId="aff0">
    <w:name w:val="Unresolved Mention"/>
    <w:basedOn w:val="a1"/>
    <w:uiPriority w:val="99"/>
    <w:rsid w:val="00080D41"/>
    <w:rPr>
      <w:color w:val="605E5C"/>
      <w:shd w:val="clear" w:color="auto" w:fill="E1DFDD"/>
    </w:rPr>
  </w:style>
  <w:style w:type="character" w:styleId="aff1">
    <w:name w:val="Emphasis"/>
    <w:basedOn w:val="a1"/>
    <w:uiPriority w:val="20"/>
    <w:qFormat/>
    <w:rsid w:val="00F823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838292">
      <w:bodyDiv w:val="1"/>
      <w:marLeft w:val="0"/>
      <w:marRight w:val="0"/>
      <w:marTop w:val="0"/>
      <w:marBottom w:val="0"/>
      <w:divBdr>
        <w:top w:val="none" w:sz="0" w:space="0" w:color="auto"/>
        <w:left w:val="none" w:sz="0" w:space="0" w:color="auto"/>
        <w:bottom w:val="none" w:sz="0" w:space="0" w:color="auto"/>
        <w:right w:val="none" w:sz="0" w:space="0" w:color="auto"/>
      </w:divBdr>
    </w:div>
    <w:div w:id="193857807">
      <w:bodyDiv w:val="1"/>
      <w:marLeft w:val="0"/>
      <w:marRight w:val="0"/>
      <w:marTop w:val="0"/>
      <w:marBottom w:val="0"/>
      <w:divBdr>
        <w:top w:val="none" w:sz="0" w:space="0" w:color="auto"/>
        <w:left w:val="none" w:sz="0" w:space="0" w:color="auto"/>
        <w:bottom w:val="none" w:sz="0" w:space="0" w:color="auto"/>
        <w:right w:val="none" w:sz="0" w:space="0" w:color="auto"/>
      </w:divBdr>
    </w:div>
    <w:div w:id="233204971">
      <w:bodyDiv w:val="1"/>
      <w:marLeft w:val="0"/>
      <w:marRight w:val="0"/>
      <w:marTop w:val="0"/>
      <w:marBottom w:val="0"/>
      <w:divBdr>
        <w:top w:val="none" w:sz="0" w:space="0" w:color="auto"/>
        <w:left w:val="none" w:sz="0" w:space="0" w:color="auto"/>
        <w:bottom w:val="none" w:sz="0" w:space="0" w:color="auto"/>
        <w:right w:val="none" w:sz="0" w:space="0" w:color="auto"/>
      </w:divBdr>
    </w:div>
    <w:div w:id="263732113">
      <w:bodyDiv w:val="1"/>
      <w:marLeft w:val="0"/>
      <w:marRight w:val="0"/>
      <w:marTop w:val="0"/>
      <w:marBottom w:val="0"/>
      <w:divBdr>
        <w:top w:val="none" w:sz="0" w:space="0" w:color="auto"/>
        <w:left w:val="none" w:sz="0" w:space="0" w:color="auto"/>
        <w:bottom w:val="none" w:sz="0" w:space="0" w:color="auto"/>
        <w:right w:val="none" w:sz="0" w:space="0" w:color="auto"/>
      </w:divBdr>
    </w:div>
    <w:div w:id="270358129">
      <w:bodyDiv w:val="1"/>
      <w:marLeft w:val="0"/>
      <w:marRight w:val="0"/>
      <w:marTop w:val="0"/>
      <w:marBottom w:val="0"/>
      <w:divBdr>
        <w:top w:val="none" w:sz="0" w:space="0" w:color="auto"/>
        <w:left w:val="none" w:sz="0" w:space="0" w:color="auto"/>
        <w:bottom w:val="none" w:sz="0" w:space="0" w:color="auto"/>
        <w:right w:val="none" w:sz="0" w:space="0" w:color="auto"/>
      </w:divBdr>
      <w:divsChild>
        <w:div w:id="1457597431">
          <w:marLeft w:val="0"/>
          <w:marRight w:val="0"/>
          <w:marTop w:val="0"/>
          <w:marBottom w:val="0"/>
          <w:divBdr>
            <w:top w:val="none" w:sz="0" w:space="0" w:color="auto"/>
            <w:left w:val="none" w:sz="0" w:space="0" w:color="auto"/>
            <w:bottom w:val="none" w:sz="0" w:space="0" w:color="auto"/>
            <w:right w:val="none" w:sz="0" w:space="0" w:color="auto"/>
          </w:divBdr>
        </w:div>
        <w:div w:id="847140513">
          <w:marLeft w:val="0"/>
          <w:marRight w:val="0"/>
          <w:marTop w:val="0"/>
          <w:marBottom w:val="0"/>
          <w:divBdr>
            <w:top w:val="none" w:sz="0" w:space="0" w:color="auto"/>
            <w:left w:val="none" w:sz="0" w:space="0" w:color="auto"/>
            <w:bottom w:val="none" w:sz="0" w:space="0" w:color="auto"/>
            <w:right w:val="none" w:sz="0" w:space="0" w:color="auto"/>
          </w:divBdr>
        </w:div>
      </w:divsChild>
    </w:div>
    <w:div w:id="292562401">
      <w:bodyDiv w:val="1"/>
      <w:marLeft w:val="0"/>
      <w:marRight w:val="0"/>
      <w:marTop w:val="0"/>
      <w:marBottom w:val="0"/>
      <w:divBdr>
        <w:top w:val="none" w:sz="0" w:space="0" w:color="auto"/>
        <w:left w:val="none" w:sz="0" w:space="0" w:color="auto"/>
        <w:bottom w:val="none" w:sz="0" w:space="0" w:color="auto"/>
        <w:right w:val="none" w:sz="0" w:space="0" w:color="auto"/>
      </w:divBdr>
    </w:div>
    <w:div w:id="329141421">
      <w:bodyDiv w:val="1"/>
      <w:marLeft w:val="0"/>
      <w:marRight w:val="0"/>
      <w:marTop w:val="0"/>
      <w:marBottom w:val="0"/>
      <w:divBdr>
        <w:top w:val="none" w:sz="0" w:space="0" w:color="auto"/>
        <w:left w:val="none" w:sz="0" w:space="0" w:color="auto"/>
        <w:bottom w:val="none" w:sz="0" w:space="0" w:color="auto"/>
        <w:right w:val="none" w:sz="0" w:space="0" w:color="auto"/>
      </w:divBdr>
    </w:div>
    <w:div w:id="388305339">
      <w:bodyDiv w:val="1"/>
      <w:marLeft w:val="0"/>
      <w:marRight w:val="0"/>
      <w:marTop w:val="0"/>
      <w:marBottom w:val="0"/>
      <w:divBdr>
        <w:top w:val="none" w:sz="0" w:space="0" w:color="auto"/>
        <w:left w:val="none" w:sz="0" w:space="0" w:color="auto"/>
        <w:bottom w:val="none" w:sz="0" w:space="0" w:color="auto"/>
        <w:right w:val="none" w:sz="0" w:space="0" w:color="auto"/>
      </w:divBdr>
    </w:div>
    <w:div w:id="390929996">
      <w:bodyDiv w:val="1"/>
      <w:marLeft w:val="0"/>
      <w:marRight w:val="0"/>
      <w:marTop w:val="0"/>
      <w:marBottom w:val="0"/>
      <w:divBdr>
        <w:top w:val="none" w:sz="0" w:space="0" w:color="auto"/>
        <w:left w:val="none" w:sz="0" w:space="0" w:color="auto"/>
        <w:bottom w:val="none" w:sz="0" w:space="0" w:color="auto"/>
        <w:right w:val="none" w:sz="0" w:space="0" w:color="auto"/>
      </w:divBdr>
    </w:div>
    <w:div w:id="403571199">
      <w:bodyDiv w:val="1"/>
      <w:marLeft w:val="0"/>
      <w:marRight w:val="0"/>
      <w:marTop w:val="0"/>
      <w:marBottom w:val="0"/>
      <w:divBdr>
        <w:top w:val="none" w:sz="0" w:space="0" w:color="auto"/>
        <w:left w:val="none" w:sz="0" w:space="0" w:color="auto"/>
        <w:bottom w:val="none" w:sz="0" w:space="0" w:color="auto"/>
        <w:right w:val="none" w:sz="0" w:space="0" w:color="auto"/>
      </w:divBdr>
    </w:div>
    <w:div w:id="408305087">
      <w:bodyDiv w:val="1"/>
      <w:marLeft w:val="0"/>
      <w:marRight w:val="0"/>
      <w:marTop w:val="0"/>
      <w:marBottom w:val="0"/>
      <w:divBdr>
        <w:top w:val="none" w:sz="0" w:space="0" w:color="auto"/>
        <w:left w:val="none" w:sz="0" w:space="0" w:color="auto"/>
        <w:bottom w:val="none" w:sz="0" w:space="0" w:color="auto"/>
        <w:right w:val="none" w:sz="0" w:space="0" w:color="auto"/>
      </w:divBdr>
    </w:div>
    <w:div w:id="449518442">
      <w:bodyDiv w:val="1"/>
      <w:marLeft w:val="0"/>
      <w:marRight w:val="0"/>
      <w:marTop w:val="0"/>
      <w:marBottom w:val="0"/>
      <w:divBdr>
        <w:top w:val="none" w:sz="0" w:space="0" w:color="auto"/>
        <w:left w:val="none" w:sz="0" w:space="0" w:color="auto"/>
        <w:bottom w:val="none" w:sz="0" w:space="0" w:color="auto"/>
        <w:right w:val="none" w:sz="0" w:space="0" w:color="auto"/>
      </w:divBdr>
    </w:div>
    <w:div w:id="452291934">
      <w:bodyDiv w:val="1"/>
      <w:marLeft w:val="0"/>
      <w:marRight w:val="0"/>
      <w:marTop w:val="0"/>
      <w:marBottom w:val="0"/>
      <w:divBdr>
        <w:top w:val="none" w:sz="0" w:space="0" w:color="auto"/>
        <w:left w:val="none" w:sz="0" w:space="0" w:color="auto"/>
        <w:bottom w:val="none" w:sz="0" w:space="0" w:color="auto"/>
        <w:right w:val="none" w:sz="0" w:space="0" w:color="auto"/>
      </w:divBdr>
    </w:div>
    <w:div w:id="465512172">
      <w:bodyDiv w:val="1"/>
      <w:marLeft w:val="0"/>
      <w:marRight w:val="0"/>
      <w:marTop w:val="0"/>
      <w:marBottom w:val="0"/>
      <w:divBdr>
        <w:top w:val="none" w:sz="0" w:space="0" w:color="auto"/>
        <w:left w:val="none" w:sz="0" w:space="0" w:color="auto"/>
        <w:bottom w:val="none" w:sz="0" w:space="0" w:color="auto"/>
        <w:right w:val="none" w:sz="0" w:space="0" w:color="auto"/>
      </w:divBdr>
    </w:div>
    <w:div w:id="564948013">
      <w:bodyDiv w:val="1"/>
      <w:marLeft w:val="0"/>
      <w:marRight w:val="0"/>
      <w:marTop w:val="0"/>
      <w:marBottom w:val="0"/>
      <w:divBdr>
        <w:top w:val="none" w:sz="0" w:space="0" w:color="auto"/>
        <w:left w:val="none" w:sz="0" w:space="0" w:color="auto"/>
        <w:bottom w:val="none" w:sz="0" w:space="0" w:color="auto"/>
        <w:right w:val="none" w:sz="0" w:space="0" w:color="auto"/>
      </w:divBdr>
    </w:div>
    <w:div w:id="573199802">
      <w:bodyDiv w:val="1"/>
      <w:marLeft w:val="0"/>
      <w:marRight w:val="0"/>
      <w:marTop w:val="0"/>
      <w:marBottom w:val="0"/>
      <w:divBdr>
        <w:top w:val="none" w:sz="0" w:space="0" w:color="auto"/>
        <w:left w:val="none" w:sz="0" w:space="0" w:color="auto"/>
        <w:bottom w:val="none" w:sz="0" w:space="0" w:color="auto"/>
        <w:right w:val="none" w:sz="0" w:space="0" w:color="auto"/>
      </w:divBdr>
    </w:div>
    <w:div w:id="591012164">
      <w:bodyDiv w:val="1"/>
      <w:marLeft w:val="0"/>
      <w:marRight w:val="0"/>
      <w:marTop w:val="0"/>
      <w:marBottom w:val="0"/>
      <w:divBdr>
        <w:top w:val="none" w:sz="0" w:space="0" w:color="auto"/>
        <w:left w:val="none" w:sz="0" w:space="0" w:color="auto"/>
        <w:bottom w:val="none" w:sz="0" w:space="0" w:color="auto"/>
        <w:right w:val="none" w:sz="0" w:space="0" w:color="auto"/>
      </w:divBdr>
    </w:div>
    <w:div w:id="597061649">
      <w:bodyDiv w:val="1"/>
      <w:marLeft w:val="0"/>
      <w:marRight w:val="0"/>
      <w:marTop w:val="0"/>
      <w:marBottom w:val="0"/>
      <w:divBdr>
        <w:top w:val="none" w:sz="0" w:space="0" w:color="auto"/>
        <w:left w:val="none" w:sz="0" w:space="0" w:color="auto"/>
        <w:bottom w:val="none" w:sz="0" w:space="0" w:color="auto"/>
        <w:right w:val="none" w:sz="0" w:space="0" w:color="auto"/>
      </w:divBdr>
    </w:div>
    <w:div w:id="648825552">
      <w:bodyDiv w:val="1"/>
      <w:marLeft w:val="0"/>
      <w:marRight w:val="0"/>
      <w:marTop w:val="0"/>
      <w:marBottom w:val="0"/>
      <w:divBdr>
        <w:top w:val="none" w:sz="0" w:space="0" w:color="auto"/>
        <w:left w:val="none" w:sz="0" w:space="0" w:color="auto"/>
        <w:bottom w:val="none" w:sz="0" w:space="0" w:color="auto"/>
        <w:right w:val="none" w:sz="0" w:space="0" w:color="auto"/>
      </w:divBdr>
    </w:div>
    <w:div w:id="664436109">
      <w:bodyDiv w:val="1"/>
      <w:marLeft w:val="0"/>
      <w:marRight w:val="0"/>
      <w:marTop w:val="0"/>
      <w:marBottom w:val="0"/>
      <w:divBdr>
        <w:top w:val="none" w:sz="0" w:space="0" w:color="auto"/>
        <w:left w:val="none" w:sz="0" w:space="0" w:color="auto"/>
        <w:bottom w:val="none" w:sz="0" w:space="0" w:color="auto"/>
        <w:right w:val="none" w:sz="0" w:space="0" w:color="auto"/>
      </w:divBdr>
    </w:div>
    <w:div w:id="682242565">
      <w:bodyDiv w:val="1"/>
      <w:marLeft w:val="0"/>
      <w:marRight w:val="0"/>
      <w:marTop w:val="0"/>
      <w:marBottom w:val="0"/>
      <w:divBdr>
        <w:top w:val="none" w:sz="0" w:space="0" w:color="auto"/>
        <w:left w:val="none" w:sz="0" w:space="0" w:color="auto"/>
        <w:bottom w:val="none" w:sz="0" w:space="0" w:color="auto"/>
        <w:right w:val="none" w:sz="0" w:space="0" w:color="auto"/>
      </w:divBdr>
    </w:div>
    <w:div w:id="767040527">
      <w:bodyDiv w:val="1"/>
      <w:marLeft w:val="0"/>
      <w:marRight w:val="0"/>
      <w:marTop w:val="0"/>
      <w:marBottom w:val="0"/>
      <w:divBdr>
        <w:top w:val="none" w:sz="0" w:space="0" w:color="auto"/>
        <w:left w:val="none" w:sz="0" w:space="0" w:color="auto"/>
        <w:bottom w:val="none" w:sz="0" w:space="0" w:color="auto"/>
        <w:right w:val="none" w:sz="0" w:space="0" w:color="auto"/>
      </w:divBdr>
    </w:div>
    <w:div w:id="826822253">
      <w:bodyDiv w:val="1"/>
      <w:marLeft w:val="0"/>
      <w:marRight w:val="0"/>
      <w:marTop w:val="0"/>
      <w:marBottom w:val="0"/>
      <w:divBdr>
        <w:top w:val="none" w:sz="0" w:space="0" w:color="auto"/>
        <w:left w:val="none" w:sz="0" w:space="0" w:color="auto"/>
        <w:bottom w:val="none" w:sz="0" w:space="0" w:color="auto"/>
        <w:right w:val="none" w:sz="0" w:space="0" w:color="auto"/>
      </w:divBdr>
    </w:div>
    <w:div w:id="852377717">
      <w:bodyDiv w:val="1"/>
      <w:marLeft w:val="0"/>
      <w:marRight w:val="0"/>
      <w:marTop w:val="0"/>
      <w:marBottom w:val="0"/>
      <w:divBdr>
        <w:top w:val="none" w:sz="0" w:space="0" w:color="auto"/>
        <w:left w:val="none" w:sz="0" w:space="0" w:color="auto"/>
        <w:bottom w:val="none" w:sz="0" w:space="0" w:color="auto"/>
        <w:right w:val="none" w:sz="0" w:space="0" w:color="auto"/>
      </w:divBdr>
    </w:div>
    <w:div w:id="860629848">
      <w:bodyDiv w:val="1"/>
      <w:marLeft w:val="0"/>
      <w:marRight w:val="0"/>
      <w:marTop w:val="0"/>
      <w:marBottom w:val="0"/>
      <w:divBdr>
        <w:top w:val="none" w:sz="0" w:space="0" w:color="auto"/>
        <w:left w:val="none" w:sz="0" w:space="0" w:color="auto"/>
        <w:bottom w:val="none" w:sz="0" w:space="0" w:color="auto"/>
        <w:right w:val="none" w:sz="0" w:space="0" w:color="auto"/>
      </w:divBdr>
    </w:div>
    <w:div w:id="894898016">
      <w:bodyDiv w:val="1"/>
      <w:marLeft w:val="0"/>
      <w:marRight w:val="0"/>
      <w:marTop w:val="0"/>
      <w:marBottom w:val="0"/>
      <w:divBdr>
        <w:top w:val="none" w:sz="0" w:space="0" w:color="auto"/>
        <w:left w:val="none" w:sz="0" w:space="0" w:color="auto"/>
        <w:bottom w:val="none" w:sz="0" w:space="0" w:color="auto"/>
        <w:right w:val="none" w:sz="0" w:space="0" w:color="auto"/>
      </w:divBdr>
    </w:div>
    <w:div w:id="931163941">
      <w:bodyDiv w:val="1"/>
      <w:marLeft w:val="0"/>
      <w:marRight w:val="0"/>
      <w:marTop w:val="0"/>
      <w:marBottom w:val="0"/>
      <w:divBdr>
        <w:top w:val="none" w:sz="0" w:space="0" w:color="auto"/>
        <w:left w:val="none" w:sz="0" w:space="0" w:color="auto"/>
        <w:bottom w:val="none" w:sz="0" w:space="0" w:color="auto"/>
        <w:right w:val="none" w:sz="0" w:space="0" w:color="auto"/>
      </w:divBdr>
    </w:div>
    <w:div w:id="944380646">
      <w:bodyDiv w:val="1"/>
      <w:marLeft w:val="0"/>
      <w:marRight w:val="0"/>
      <w:marTop w:val="0"/>
      <w:marBottom w:val="0"/>
      <w:divBdr>
        <w:top w:val="none" w:sz="0" w:space="0" w:color="auto"/>
        <w:left w:val="none" w:sz="0" w:space="0" w:color="auto"/>
        <w:bottom w:val="none" w:sz="0" w:space="0" w:color="auto"/>
        <w:right w:val="none" w:sz="0" w:space="0" w:color="auto"/>
      </w:divBdr>
    </w:div>
    <w:div w:id="960496369">
      <w:bodyDiv w:val="1"/>
      <w:marLeft w:val="0"/>
      <w:marRight w:val="0"/>
      <w:marTop w:val="0"/>
      <w:marBottom w:val="0"/>
      <w:divBdr>
        <w:top w:val="none" w:sz="0" w:space="0" w:color="auto"/>
        <w:left w:val="none" w:sz="0" w:space="0" w:color="auto"/>
        <w:bottom w:val="none" w:sz="0" w:space="0" w:color="auto"/>
        <w:right w:val="none" w:sz="0" w:space="0" w:color="auto"/>
      </w:divBdr>
    </w:div>
    <w:div w:id="1047678741">
      <w:bodyDiv w:val="1"/>
      <w:marLeft w:val="0"/>
      <w:marRight w:val="0"/>
      <w:marTop w:val="0"/>
      <w:marBottom w:val="0"/>
      <w:divBdr>
        <w:top w:val="none" w:sz="0" w:space="0" w:color="auto"/>
        <w:left w:val="none" w:sz="0" w:space="0" w:color="auto"/>
        <w:bottom w:val="none" w:sz="0" w:space="0" w:color="auto"/>
        <w:right w:val="none" w:sz="0" w:space="0" w:color="auto"/>
      </w:divBdr>
    </w:div>
    <w:div w:id="1060514091">
      <w:bodyDiv w:val="1"/>
      <w:marLeft w:val="0"/>
      <w:marRight w:val="0"/>
      <w:marTop w:val="0"/>
      <w:marBottom w:val="0"/>
      <w:divBdr>
        <w:top w:val="none" w:sz="0" w:space="0" w:color="auto"/>
        <w:left w:val="none" w:sz="0" w:space="0" w:color="auto"/>
        <w:bottom w:val="none" w:sz="0" w:space="0" w:color="auto"/>
        <w:right w:val="none" w:sz="0" w:space="0" w:color="auto"/>
      </w:divBdr>
    </w:div>
    <w:div w:id="1082216144">
      <w:bodyDiv w:val="1"/>
      <w:marLeft w:val="0"/>
      <w:marRight w:val="0"/>
      <w:marTop w:val="0"/>
      <w:marBottom w:val="0"/>
      <w:divBdr>
        <w:top w:val="none" w:sz="0" w:space="0" w:color="auto"/>
        <w:left w:val="none" w:sz="0" w:space="0" w:color="auto"/>
        <w:bottom w:val="none" w:sz="0" w:space="0" w:color="auto"/>
        <w:right w:val="none" w:sz="0" w:space="0" w:color="auto"/>
      </w:divBdr>
    </w:div>
    <w:div w:id="1103301607">
      <w:bodyDiv w:val="1"/>
      <w:marLeft w:val="0"/>
      <w:marRight w:val="0"/>
      <w:marTop w:val="0"/>
      <w:marBottom w:val="0"/>
      <w:divBdr>
        <w:top w:val="none" w:sz="0" w:space="0" w:color="auto"/>
        <w:left w:val="none" w:sz="0" w:space="0" w:color="auto"/>
        <w:bottom w:val="none" w:sz="0" w:space="0" w:color="auto"/>
        <w:right w:val="none" w:sz="0" w:space="0" w:color="auto"/>
      </w:divBdr>
    </w:div>
    <w:div w:id="1117219106">
      <w:bodyDiv w:val="1"/>
      <w:marLeft w:val="0"/>
      <w:marRight w:val="0"/>
      <w:marTop w:val="0"/>
      <w:marBottom w:val="0"/>
      <w:divBdr>
        <w:top w:val="none" w:sz="0" w:space="0" w:color="auto"/>
        <w:left w:val="none" w:sz="0" w:space="0" w:color="auto"/>
        <w:bottom w:val="none" w:sz="0" w:space="0" w:color="auto"/>
        <w:right w:val="none" w:sz="0" w:space="0" w:color="auto"/>
      </w:divBdr>
    </w:div>
    <w:div w:id="1143352610">
      <w:bodyDiv w:val="1"/>
      <w:marLeft w:val="0"/>
      <w:marRight w:val="0"/>
      <w:marTop w:val="0"/>
      <w:marBottom w:val="0"/>
      <w:divBdr>
        <w:top w:val="none" w:sz="0" w:space="0" w:color="auto"/>
        <w:left w:val="none" w:sz="0" w:space="0" w:color="auto"/>
        <w:bottom w:val="none" w:sz="0" w:space="0" w:color="auto"/>
        <w:right w:val="none" w:sz="0" w:space="0" w:color="auto"/>
      </w:divBdr>
    </w:div>
    <w:div w:id="1154108912">
      <w:bodyDiv w:val="1"/>
      <w:marLeft w:val="0"/>
      <w:marRight w:val="0"/>
      <w:marTop w:val="0"/>
      <w:marBottom w:val="0"/>
      <w:divBdr>
        <w:top w:val="none" w:sz="0" w:space="0" w:color="auto"/>
        <w:left w:val="none" w:sz="0" w:space="0" w:color="auto"/>
        <w:bottom w:val="none" w:sz="0" w:space="0" w:color="auto"/>
        <w:right w:val="none" w:sz="0" w:space="0" w:color="auto"/>
      </w:divBdr>
    </w:div>
    <w:div w:id="1170411367">
      <w:bodyDiv w:val="1"/>
      <w:marLeft w:val="0"/>
      <w:marRight w:val="0"/>
      <w:marTop w:val="0"/>
      <w:marBottom w:val="0"/>
      <w:divBdr>
        <w:top w:val="none" w:sz="0" w:space="0" w:color="auto"/>
        <w:left w:val="none" w:sz="0" w:space="0" w:color="auto"/>
        <w:bottom w:val="none" w:sz="0" w:space="0" w:color="auto"/>
        <w:right w:val="none" w:sz="0" w:space="0" w:color="auto"/>
      </w:divBdr>
    </w:div>
    <w:div w:id="1174685350">
      <w:bodyDiv w:val="1"/>
      <w:marLeft w:val="0"/>
      <w:marRight w:val="0"/>
      <w:marTop w:val="0"/>
      <w:marBottom w:val="0"/>
      <w:divBdr>
        <w:top w:val="none" w:sz="0" w:space="0" w:color="auto"/>
        <w:left w:val="none" w:sz="0" w:space="0" w:color="auto"/>
        <w:bottom w:val="none" w:sz="0" w:space="0" w:color="auto"/>
        <w:right w:val="none" w:sz="0" w:space="0" w:color="auto"/>
      </w:divBdr>
    </w:div>
    <w:div w:id="1308048010">
      <w:bodyDiv w:val="1"/>
      <w:marLeft w:val="0"/>
      <w:marRight w:val="0"/>
      <w:marTop w:val="0"/>
      <w:marBottom w:val="0"/>
      <w:divBdr>
        <w:top w:val="none" w:sz="0" w:space="0" w:color="auto"/>
        <w:left w:val="none" w:sz="0" w:space="0" w:color="auto"/>
        <w:bottom w:val="none" w:sz="0" w:space="0" w:color="auto"/>
        <w:right w:val="none" w:sz="0" w:space="0" w:color="auto"/>
      </w:divBdr>
    </w:div>
    <w:div w:id="1322198965">
      <w:bodyDiv w:val="1"/>
      <w:marLeft w:val="0"/>
      <w:marRight w:val="0"/>
      <w:marTop w:val="0"/>
      <w:marBottom w:val="0"/>
      <w:divBdr>
        <w:top w:val="none" w:sz="0" w:space="0" w:color="auto"/>
        <w:left w:val="none" w:sz="0" w:space="0" w:color="auto"/>
        <w:bottom w:val="none" w:sz="0" w:space="0" w:color="auto"/>
        <w:right w:val="none" w:sz="0" w:space="0" w:color="auto"/>
      </w:divBdr>
    </w:div>
    <w:div w:id="1324049214">
      <w:bodyDiv w:val="1"/>
      <w:marLeft w:val="0"/>
      <w:marRight w:val="0"/>
      <w:marTop w:val="0"/>
      <w:marBottom w:val="0"/>
      <w:divBdr>
        <w:top w:val="none" w:sz="0" w:space="0" w:color="auto"/>
        <w:left w:val="none" w:sz="0" w:space="0" w:color="auto"/>
        <w:bottom w:val="none" w:sz="0" w:space="0" w:color="auto"/>
        <w:right w:val="none" w:sz="0" w:space="0" w:color="auto"/>
      </w:divBdr>
    </w:div>
    <w:div w:id="1361469283">
      <w:bodyDiv w:val="1"/>
      <w:marLeft w:val="0"/>
      <w:marRight w:val="0"/>
      <w:marTop w:val="0"/>
      <w:marBottom w:val="0"/>
      <w:divBdr>
        <w:top w:val="none" w:sz="0" w:space="0" w:color="auto"/>
        <w:left w:val="none" w:sz="0" w:space="0" w:color="auto"/>
        <w:bottom w:val="none" w:sz="0" w:space="0" w:color="auto"/>
        <w:right w:val="none" w:sz="0" w:space="0" w:color="auto"/>
      </w:divBdr>
    </w:div>
    <w:div w:id="1398942327">
      <w:bodyDiv w:val="1"/>
      <w:marLeft w:val="0"/>
      <w:marRight w:val="0"/>
      <w:marTop w:val="0"/>
      <w:marBottom w:val="0"/>
      <w:divBdr>
        <w:top w:val="none" w:sz="0" w:space="0" w:color="auto"/>
        <w:left w:val="none" w:sz="0" w:space="0" w:color="auto"/>
        <w:bottom w:val="none" w:sz="0" w:space="0" w:color="auto"/>
        <w:right w:val="none" w:sz="0" w:space="0" w:color="auto"/>
      </w:divBdr>
    </w:div>
    <w:div w:id="1423718406">
      <w:bodyDiv w:val="1"/>
      <w:marLeft w:val="0"/>
      <w:marRight w:val="0"/>
      <w:marTop w:val="0"/>
      <w:marBottom w:val="0"/>
      <w:divBdr>
        <w:top w:val="none" w:sz="0" w:space="0" w:color="auto"/>
        <w:left w:val="none" w:sz="0" w:space="0" w:color="auto"/>
        <w:bottom w:val="none" w:sz="0" w:space="0" w:color="auto"/>
        <w:right w:val="none" w:sz="0" w:space="0" w:color="auto"/>
      </w:divBdr>
    </w:div>
    <w:div w:id="1465851563">
      <w:bodyDiv w:val="1"/>
      <w:marLeft w:val="0"/>
      <w:marRight w:val="0"/>
      <w:marTop w:val="0"/>
      <w:marBottom w:val="0"/>
      <w:divBdr>
        <w:top w:val="none" w:sz="0" w:space="0" w:color="auto"/>
        <w:left w:val="none" w:sz="0" w:space="0" w:color="auto"/>
        <w:bottom w:val="none" w:sz="0" w:space="0" w:color="auto"/>
        <w:right w:val="none" w:sz="0" w:space="0" w:color="auto"/>
      </w:divBdr>
    </w:div>
    <w:div w:id="1511413807">
      <w:bodyDiv w:val="1"/>
      <w:marLeft w:val="0"/>
      <w:marRight w:val="0"/>
      <w:marTop w:val="0"/>
      <w:marBottom w:val="0"/>
      <w:divBdr>
        <w:top w:val="none" w:sz="0" w:space="0" w:color="auto"/>
        <w:left w:val="none" w:sz="0" w:space="0" w:color="auto"/>
        <w:bottom w:val="none" w:sz="0" w:space="0" w:color="auto"/>
        <w:right w:val="none" w:sz="0" w:space="0" w:color="auto"/>
      </w:divBdr>
    </w:div>
    <w:div w:id="1527139230">
      <w:bodyDiv w:val="1"/>
      <w:marLeft w:val="0"/>
      <w:marRight w:val="0"/>
      <w:marTop w:val="0"/>
      <w:marBottom w:val="0"/>
      <w:divBdr>
        <w:top w:val="none" w:sz="0" w:space="0" w:color="auto"/>
        <w:left w:val="none" w:sz="0" w:space="0" w:color="auto"/>
        <w:bottom w:val="none" w:sz="0" w:space="0" w:color="auto"/>
        <w:right w:val="none" w:sz="0" w:space="0" w:color="auto"/>
      </w:divBdr>
      <w:divsChild>
        <w:div w:id="819690403">
          <w:marLeft w:val="0"/>
          <w:marRight w:val="0"/>
          <w:marTop w:val="0"/>
          <w:marBottom w:val="0"/>
          <w:divBdr>
            <w:top w:val="none" w:sz="0" w:space="0" w:color="auto"/>
            <w:left w:val="none" w:sz="0" w:space="0" w:color="auto"/>
            <w:bottom w:val="none" w:sz="0" w:space="0" w:color="auto"/>
            <w:right w:val="none" w:sz="0" w:space="0" w:color="auto"/>
          </w:divBdr>
          <w:divsChild>
            <w:div w:id="80847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5843">
      <w:bodyDiv w:val="1"/>
      <w:marLeft w:val="0"/>
      <w:marRight w:val="0"/>
      <w:marTop w:val="0"/>
      <w:marBottom w:val="0"/>
      <w:divBdr>
        <w:top w:val="none" w:sz="0" w:space="0" w:color="auto"/>
        <w:left w:val="none" w:sz="0" w:space="0" w:color="auto"/>
        <w:bottom w:val="none" w:sz="0" w:space="0" w:color="auto"/>
        <w:right w:val="none" w:sz="0" w:space="0" w:color="auto"/>
      </w:divBdr>
    </w:div>
    <w:div w:id="1578787323">
      <w:bodyDiv w:val="1"/>
      <w:marLeft w:val="0"/>
      <w:marRight w:val="0"/>
      <w:marTop w:val="0"/>
      <w:marBottom w:val="0"/>
      <w:divBdr>
        <w:top w:val="none" w:sz="0" w:space="0" w:color="auto"/>
        <w:left w:val="none" w:sz="0" w:space="0" w:color="auto"/>
        <w:bottom w:val="none" w:sz="0" w:space="0" w:color="auto"/>
        <w:right w:val="none" w:sz="0" w:space="0" w:color="auto"/>
      </w:divBdr>
    </w:div>
    <w:div w:id="1595897887">
      <w:bodyDiv w:val="1"/>
      <w:marLeft w:val="0"/>
      <w:marRight w:val="0"/>
      <w:marTop w:val="0"/>
      <w:marBottom w:val="0"/>
      <w:divBdr>
        <w:top w:val="none" w:sz="0" w:space="0" w:color="auto"/>
        <w:left w:val="none" w:sz="0" w:space="0" w:color="auto"/>
        <w:bottom w:val="none" w:sz="0" w:space="0" w:color="auto"/>
        <w:right w:val="none" w:sz="0" w:space="0" w:color="auto"/>
      </w:divBdr>
    </w:div>
    <w:div w:id="1598639102">
      <w:bodyDiv w:val="1"/>
      <w:marLeft w:val="0"/>
      <w:marRight w:val="0"/>
      <w:marTop w:val="0"/>
      <w:marBottom w:val="0"/>
      <w:divBdr>
        <w:top w:val="none" w:sz="0" w:space="0" w:color="auto"/>
        <w:left w:val="none" w:sz="0" w:space="0" w:color="auto"/>
        <w:bottom w:val="none" w:sz="0" w:space="0" w:color="auto"/>
        <w:right w:val="none" w:sz="0" w:space="0" w:color="auto"/>
      </w:divBdr>
    </w:div>
    <w:div w:id="1683122241">
      <w:bodyDiv w:val="1"/>
      <w:marLeft w:val="0"/>
      <w:marRight w:val="0"/>
      <w:marTop w:val="0"/>
      <w:marBottom w:val="0"/>
      <w:divBdr>
        <w:top w:val="none" w:sz="0" w:space="0" w:color="auto"/>
        <w:left w:val="none" w:sz="0" w:space="0" w:color="auto"/>
        <w:bottom w:val="none" w:sz="0" w:space="0" w:color="auto"/>
        <w:right w:val="none" w:sz="0" w:space="0" w:color="auto"/>
      </w:divBdr>
    </w:div>
    <w:div w:id="1689672583">
      <w:bodyDiv w:val="1"/>
      <w:marLeft w:val="0"/>
      <w:marRight w:val="0"/>
      <w:marTop w:val="0"/>
      <w:marBottom w:val="0"/>
      <w:divBdr>
        <w:top w:val="none" w:sz="0" w:space="0" w:color="auto"/>
        <w:left w:val="none" w:sz="0" w:space="0" w:color="auto"/>
        <w:bottom w:val="none" w:sz="0" w:space="0" w:color="auto"/>
        <w:right w:val="none" w:sz="0" w:space="0" w:color="auto"/>
      </w:divBdr>
    </w:div>
    <w:div w:id="1747536162">
      <w:bodyDiv w:val="1"/>
      <w:marLeft w:val="0"/>
      <w:marRight w:val="0"/>
      <w:marTop w:val="0"/>
      <w:marBottom w:val="0"/>
      <w:divBdr>
        <w:top w:val="none" w:sz="0" w:space="0" w:color="auto"/>
        <w:left w:val="none" w:sz="0" w:space="0" w:color="auto"/>
        <w:bottom w:val="none" w:sz="0" w:space="0" w:color="auto"/>
        <w:right w:val="none" w:sz="0" w:space="0" w:color="auto"/>
      </w:divBdr>
    </w:div>
    <w:div w:id="1769349052">
      <w:bodyDiv w:val="1"/>
      <w:marLeft w:val="0"/>
      <w:marRight w:val="0"/>
      <w:marTop w:val="0"/>
      <w:marBottom w:val="0"/>
      <w:divBdr>
        <w:top w:val="none" w:sz="0" w:space="0" w:color="auto"/>
        <w:left w:val="none" w:sz="0" w:space="0" w:color="auto"/>
        <w:bottom w:val="none" w:sz="0" w:space="0" w:color="auto"/>
        <w:right w:val="none" w:sz="0" w:space="0" w:color="auto"/>
      </w:divBdr>
    </w:div>
    <w:div w:id="1790125946">
      <w:bodyDiv w:val="1"/>
      <w:marLeft w:val="0"/>
      <w:marRight w:val="0"/>
      <w:marTop w:val="0"/>
      <w:marBottom w:val="0"/>
      <w:divBdr>
        <w:top w:val="none" w:sz="0" w:space="0" w:color="auto"/>
        <w:left w:val="none" w:sz="0" w:space="0" w:color="auto"/>
        <w:bottom w:val="none" w:sz="0" w:space="0" w:color="auto"/>
        <w:right w:val="none" w:sz="0" w:space="0" w:color="auto"/>
      </w:divBdr>
    </w:div>
    <w:div w:id="1822194147">
      <w:bodyDiv w:val="1"/>
      <w:marLeft w:val="0"/>
      <w:marRight w:val="0"/>
      <w:marTop w:val="0"/>
      <w:marBottom w:val="0"/>
      <w:divBdr>
        <w:top w:val="none" w:sz="0" w:space="0" w:color="auto"/>
        <w:left w:val="none" w:sz="0" w:space="0" w:color="auto"/>
        <w:bottom w:val="none" w:sz="0" w:space="0" w:color="auto"/>
        <w:right w:val="none" w:sz="0" w:space="0" w:color="auto"/>
      </w:divBdr>
    </w:div>
    <w:div w:id="1822427337">
      <w:bodyDiv w:val="1"/>
      <w:marLeft w:val="0"/>
      <w:marRight w:val="0"/>
      <w:marTop w:val="0"/>
      <w:marBottom w:val="0"/>
      <w:divBdr>
        <w:top w:val="none" w:sz="0" w:space="0" w:color="auto"/>
        <w:left w:val="none" w:sz="0" w:space="0" w:color="auto"/>
        <w:bottom w:val="none" w:sz="0" w:space="0" w:color="auto"/>
        <w:right w:val="none" w:sz="0" w:space="0" w:color="auto"/>
      </w:divBdr>
      <w:divsChild>
        <w:div w:id="1637758162">
          <w:marLeft w:val="0"/>
          <w:marRight w:val="0"/>
          <w:marTop w:val="0"/>
          <w:marBottom w:val="0"/>
          <w:divBdr>
            <w:top w:val="none" w:sz="0" w:space="0" w:color="auto"/>
            <w:left w:val="none" w:sz="0" w:space="0" w:color="auto"/>
            <w:bottom w:val="none" w:sz="0" w:space="0" w:color="auto"/>
            <w:right w:val="none" w:sz="0" w:space="0" w:color="auto"/>
          </w:divBdr>
          <w:divsChild>
            <w:div w:id="49299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57894">
      <w:bodyDiv w:val="1"/>
      <w:marLeft w:val="0"/>
      <w:marRight w:val="0"/>
      <w:marTop w:val="0"/>
      <w:marBottom w:val="0"/>
      <w:divBdr>
        <w:top w:val="none" w:sz="0" w:space="0" w:color="auto"/>
        <w:left w:val="none" w:sz="0" w:space="0" w:color="auto"/>
        <w:bottom w:val="none" w:sz="0" w:space="0" w:color="auto"/>
        <w:right w:val="none" w:sz="0" w:space="0" w:color="auto"/>
      </w:divBdr>
    </w:div>
    <w:div w:id="1897467266">
      <w:bodyDiv w:val="1"/>
      <w:marLeft w:val="0"/>
      <w:marRight w:val="0"/>
      <w:marTop w:val="0"/>
      <w:marBottom w:val="0"/>
      <w:divBdr>
        <w:top w:val="none" w:sz="0" w:space="0" w:color="auto"/>
        <w:left w:val="none" w:sz="0" w:space="0" w:color="auto"/>
        <w:bottom w:val="none" w:sz="0" w:space="0" w:color="auto"/>
        <w:right w:val="none" w:sz="0" w:space="0" w:color="auto"/>
      </w:divBdr>
      <w:divsChild>
        <w:div w:id="130094574">
          <w:marLeft w:val="0"/>
          <w:marRight w:val="0"/>
          <w:marTop w:val="0"/>
          <w:marBottom w:val="0"/>
          <w:divBdr>
            <w:top w:val="none" w:sz="0" w:space="0" w:color="auto"/>
            <w:left w:val="none" w:sz="0" w:space="0" w:color="auto"/>
            <w:bottom w:val="none" w:sz="0" w:space="0" w:color="auto"/>
            <w:right w:val="none" w:sz="0" w:space="0" w:color="auto"/>
          </w:divBdr>
        </w:div>
        <w:div w:id="1255243494">
          <w:marLeft w:val="0"/>
          <w:marRight w:val="0"/>
          <w:marTop w:val="0"/>
          <w:marBottom w:val="0"/>
          <w:divBdr>
            <w:top w:val="none" w:sz="0" w:space="0" w:color="auto"/>
            <w:left w:val="none" w:sz="0" w:space="0" w:color="auto"/>
            <w:bottom w:val="none" w:sz="0" w:space="0" w:color="auto"/>
            <w:right w:val="none" w:sz="0" w:space="0" w:color="auto"/>
          </w:divBdr>
        </w:div>
      </w:divsChild>
    </w:div>
    <w:div w:id="1898198165">
      <w:bodyDiv w:val="1"/>
      <w:marLeft w:val="0"/>
      <w:marRight w:val="0"/>
      <w:marTop w:val="0"/>
      <w:marBottom w:val="0"/>
      <w:divBdr>
        <w:top w:val="none" w:sz="0" w:space="0" w:color="auto"/>
        <w:left w:val="none" w:sz="0" w:space="0" w:color="auto"/>
        <w:bottom w:val="none" w:sz="0" w:space="0" w:color="auto"/>
        <w:right w:val="none" w:sz="0" w:space="0" w:color="auto"/>
      </w:divBdr>
    </w:div>
    <w:div w:id="1912035445">
      <w:bodyDiv w:val="1"/>
      <w:marLeft w:val="0"/>
      <w:marRight w:val="0"/>
      <w:marTop w:val="0"/>
      <w:marBottom w:val="0"/>
      <w:divBdr>
        <w:top w:val="none" w:sz="0" w:space="0" w:color="auto"/>
        <w:left w:val="none" w:sz="0" w:space="0" w:color="auto"/>
        <w:bottom w:val="none" w:sz="0" w:space="0" w:color="auto"/>
        <w:right w:val="none" w:sz="0" w:space="0" w:color="auto"/>
      </w:divBdr>
    </w:div>
    <w:div w:id="2011977944">
      <w:bodyDiv w:val="1"/>
      <w:marLeft w:val="0"/>
      <w:marRight w:val="0"/>
      <w:marTop w:val="0"/>
      <w:marBottom w:val="0"/>
      <w:divBdr>
        <w:top w:val="none" w:sz="0" w:space="0" w:color="auto"/>
        <w:left w:val="none" w:sz="0" w:space="0" w:color="auto"/>
        <w:bottom w:val="none" w:sz="0" w:space="0" w:color="auto"/>
        <w:right w:val="none" w:sz="0" w:space="0" w:color="auto"/>
      </w:divBdr>
    </w:div>
    <w:div w:id="2050103178">
      <w:bodyDiv w:val="1"/>
      <w:marLeft w:val="0"/>
      <w:marRight w:val="0"/>
      <w:marTop w:val="0"/>
      <w:marBottom w:val="0"/>
      <w:divBdr>
        <w:top w:val="none" w:sz="0" w:space="0" w:color="auto"/>
        <w:left w:val="none" w:sz="0" w:space="0" w:color="auto"/>
        <w:bottom w:val="none" w:sz="0" w:space="0" w:color="auto"/>
        <w:right w:val="none" w:sz="0" w:space="0" w:color="auto"/>
      </w:divBdr>
    </w:div>
    <w:div w:id="2056007562">
      <w:bodyDiv w:val="1"/>
      <w:marLeft w:val="0"/>
      <w:marRight w:val="0"/>
      <w:marTop w:val="0"/>
      <w:marBottom w:val="0"/>
      <w:divBdr>
        <w:top w:val="none" w:sz="0" w:space="0" w:color="auto"/>
        <w:left w:val="none" w:sz="0" w:space="0" w:color="auto"/>
        <w:bottom w:val="none" w:sz="0" w:space="0" w:color="auto"/>
        <w:right w:val="none" w:sz="0" w:space="0" w:color="auto"/>
      </w:divBdr>
    </w:div>
    <w:div w:id="2079664223">
      <w:bodyDiv w:val="1"/>
      <w:marLeft w:val="0"/>
      <w:marRight w:val="0"/>
      <w:marTop w:val="0"/>
      <w:marBottom w:val="0"/>
      <w:divBdr>
        <w:top w:val="none" w:sz="0" w:space="0" w:color="auto"/>
        <w:left w:val="none" w:sz="0" w:space="0" w:color="auto"/>
        <w:bottom w:val="none" w:sz="0" w:space="0" w:color="auto"/>
        <w:right w:val="none" w:sz="0" w:space="0" w:color="auto"/>
      </w:divBdr>
    </w:div>
    <w:div w:id="2087527991">
      <w:bodyDiv w:val="1"/>
      <w:marLeft w:val="0"/>
      <w:marRight w:val="0"/>
      <w:marTop w:val="0"/>
      <w:marBottom w:val="0"/>
      <w:divBdr>
        <w:top w:val="none" w:sz="0" w:space="0" w:color="auto"/>
        <w:left w:val="none" w:sz="0" w:space="0" w:color="auto"/>
        <w:bottom w:val="none" w:sz="0" w:space="0" w:color="auto"/>
        <w:right w:val="none" w:sz="0" w:space="0" w:color="auto"/>
      </w:divBdr>
    </w:div>
    <w:div w:id="2090498539">
      <w:bodyDiv w:val="1"/>
      <w:marLeft w:val="0"/>
      <w:marRight w:val="0"/>
      <w:marTop w:val="0"/>
      <w:marBottom w:val="0"/>
      <w:divBdr>
        <w:top w:val="none" w:sz="0" w:space="0" w:color="auto"/>
        <w:left w:val="none" w:sz="0" w:space="0" w:color="auto"/>
        <w:bottom w:val="none" w:sz="0" w:space="0" w:color="auto"/>
        <w:right w:val="none" w:sz="0" w:space="0" w:color="auto"/>
      </w:divBdr>
    </w:div>
    <w:div w:id="2091340625">
      <w:bodyDiv w:val="1"/>
      <w:marLeft w:val="0"/>
      <w:marRight w:val="0"/>
      <w:marTop w:val="0"/>
      <w:marBottom w:val="0"/>
      <w:divBdr>
        <w:top w:val="none" w:sz="0" w:space="0" w:color="auto"/>
        <w:left w:val="none" w:sz="0" w:space="0" w:color="auto"/>
        <w:bottom w:val="none" w:sz="0" w:space="0" w:color="auto"/>
        <w:right w:val="none" w:sz="0" w:space="0" w:color="auto"/>
      </w:divBdr>
    </w:div>
    <w:div w:id="2114662294">
      <w:bodyDiv w:val="1"/>
      <w:marLeft w:val="0"/>
      <w:marRight w:val="0"/>
      <w:marTop w:val="0"/>
      <w:marBottom w:val="0"/>
      <w:divBdr>
        <w:top w:val="none" w:sz="0" w:space="0" w:color="auto"/>
        <w:left w:val="none" w:sz="0" w:space="0" w:color="auto"/>
        <w:bottom w:val="none" w:sz="0" w:space="0" w:color="auto"/>
        <w:right w:val="none" w:sz="0" w:space="0" w:color="auto"/>
      </w:divBdr>
      <w:divsChild>
        <w:div w:id="71241789">
          <w:marLeft w:val="0"/>
          <w:marRight w:val="0"/>
          <w:marTop w:val="0"/>
          <w:marBottom w:val="0"/>
          <w:divBdr>
            <w:top w:val="none" w:sz="0" w:space="0" w:color="auto"/>
            <w:left w:val="none" w:sz="0" w:space="0" w:color="auto"/>
            <w:bottom w:val="none" w:sz="0" w:space="0" w:color="auto"/>
            <w:right w:val="none" w:sz="0" w:space="0" w:color="auto"/>
          </w:divBdr>
          <w:divsChild>
            <w:div w:id="112604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E58D57B-2B14-9F44-84C4-D1F9319C1F70}">
  <ds:schemaRefs>
    <ds:schemaRef ds:uri="http://schemas.openxmlformats.org/officeDocument/2006/bibliography"/>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1776</Words>
  <Characters>11404</Characters>
  <Application>Microsoft Office Word</Application>
  <DocSecurity>0</DocSecurity>
  <Lines>232</Lines>
  <Paragraphs>73</Paragraphs>
  <ScaleCrop>false</ScaleCrop>
  <HeadingPairs>
    <vt:vector size="2" baseType="variant">
      <vt:variant>
        <vt:lpstr>Title</vt:lpstr>
      </vt:variant>
      <vt:variant>
        <vt:i4>1</vt:i4>
      </vt:variant>
    </vt:vector>
  </HeadingPairs>
  <TitlesOfParts>
    <vt:vector size="1" baseType="lpstr">
      <vt:lpstr>D_project</vt:lpstr>
    </vt:vector>
  </TitlesOfParts>
  <Company/>
  <LinksUpToDate>false</LinksUpToDate>
  <CharactersWithSpaces>13107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D_project</dc:title>
  <dc:creator>Otello</dc:creator>
  <cp:lastModifiedBy>Xinrui Qi</cp:lastModifiedBy>
  <cp:revision>2</cp:revision>
  <cp:lastPrinted>2026-03-07T22:57:00Z</cp:lastPrinted>
  <dcterms:created xsi:type="dcterms:W3CDTF">2026-04-10T12:52:00Z</dcterms:created>
  <dcterms:modified xsi:type="dcterms:W3CDTF">2026-04-10T12:52:00Z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