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-6350</wp:posOffset>
                </wp:positionH>
                <wp:positionV relativeFrom="page">
                  <wp:posOffset>-6350</wp:posOffset>
                </wp:positionV>
                <wp:extent cx="7574915" cy="30060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74915" cy="3006090"/>
                          <a:chExt cx="7574915" cy="3006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7562215" cy="299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2993390">
                                <a:moveTo>
                                  <a:pt x="7562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3014"/>
                                </a:lnTo>
                                <a:lnTo>
                                  <a:pt x="7562088" y="2993014"/>
                                </a:lnTo>
                                <a:lnTo>
                                  <a:pt x="7562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D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7562215" cy="299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2993390">
                                <a:moveTo>
                                  <a:pt x="0" y="2993014"/>
                                </a:moveTo>
                                <a:lnTo>
                                  <a:pt x="7562088" y="2993014"/>
                                </a:lnTo>
                                <a:lnTo>
                                  <a:pt x="75620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9301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E3D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47977" y="1028204"/>
                            <a:ext cx="125095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1670685">
                                <a:moveTo>
                                  <a:pt x="56426" y="1660766"/>
                                </a:moveTo>
                                <a:lnTo>
                                  <a:pt x="266" y="1660766"/>
                                </a:lnTo>
                                <a:lnTo>
                                  <a:pt x="266" y="1670545"/>
                                </a:lnTo>
                                <a:lnTo>
                                  <a:pt x="56426" y="1670545"/>
                                </a:lnTo>
                                <a:lnTo>
                                  <a:pt x="56426" y="1660766"/>
                                </a:lnTo>
                                <a:close/>
                              </a:path>
                              <a:path w="125095" h="1670685">
                                <a:moveTo>
                                  <a:pt x="1246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02"/>
                                </a:lnTo>
                                <a:lnTo>
                                  <a:pt x="124612" y="17602"/>
                                </a:lnTo>
                                <a:lnTo>
                                  <a:pt x="124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5pt;margin-top:-.500007pt;width:596.450pt;height:236.7pt;mso-position-horizontal-relative:page;mso-position-vertical-relative:page;z-index:-15906304" id="docshapegroup1" coordorigin="-10,-10" coordsize="11929,4734">
                <v:rect style="position:absolute;left:0;top:0;width:11909;height:4714" id="docshape2" filled="true" fillcolor="#0e3d6d" stroked="false">
                  <v:fill type="solid"/>
                </v:rect>
                <v:rect style="position:absolute;left:0;top:0;width:11909;height:4714" id="docshape3" filled="false" stroked="true" strokeweight="1pt" strokecolor="#0e3d6d">
                  <v:stroke dashstyle="solid"/>
                </v:rect>
                <v:shape style="position:absolute;left:2900;top:1609;width:197;height:2631" id="docshape4" coordorigin="2900,1609" coordsize="197,2631" path="m2989,4225l2901,4225,2901,4240,2989,4240,2989,4225xm3096,1609l2900,1609,2900,1637,3096,1637,3096,1609xe" filled="true" fillcolor="#cfe2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79"/>
        <w:rPr>
          <w:rFonts w:ascii="Times New Roman"/>
          <w:sz w:val="22"/>
        </w:rPr>
      </w:pPr>
    </w:p>
    <w:p>
      <w:pPr>
        <w:tabs>
          <w:tab w:pos="2334" w:val="left" w:leader="none"/>
        </w:tabs>
        <w:spacing w:before="0"/>
        <w:ind w:left="102" w:right="0" w:firstLine="0"/>
        <w:jc w:val="left"/>
        <w:rPr>
          <w:b/>
          <w:sz w:val="24"/>
        </w:rPr>
      </w:pPr>
      <w:r>
        <w:rPr>
          <w:b/>
          <w:color w:val="CFE2FF"/>
          <w:spacing w:val="-2"/>
          <w:w w:val="110"/>
          <w:sz w:val="24"/>
        </w:rPr>
        <w:t>ImplicitKalman</w:t>
      </w:r>
      <w:r>
        <w:rPr>
          <w:b/>
          <w:color w:val="CFE2FF"/>
          <w:sz w:val="24"/>
        </w:rPr>
        <w:tab/>
      </w:r>
      <w:r>
        <w:rPr>
          <w:b/>
          <w:color w:val="CFE2FF"/>
          <w:w w:val="105"/>
          <w:sz w:val="24"/>
        </w:rPr>
        <w:t>Working</w:t>
      </w:r>
      <w:r>
        <w:rPr>
          <w:b/>
          <w:color w:val="CFE2FF"/>
          <w:spacing w:val="20"/>
          <w:w w:val="110"/>
          <w:sz w:val="24"/>
        </w:rPr>
        <w:t> </w:t>
      </w:r>
      <w:r>
        <w:rPr>
          <w:b/>
          <w:color w:val="CFE2FF"/>
          <w:spacing w:val="-4"/>
          <w:w w:val="110"/>
          <w:sz w:val="24"/>
        </w:rPr>
        <w:t>Note</w:t>
      </w:r>
    </w:p>
    <w:p>
      <w:pPr>
        <w:pStyle w:val="Heading1"/>
        <w:spacing w:line="309" w:lineRule="auto"/>
      </w:pPr>
      <w:r>
        <w:rPr>
          <w:color w:val="FFFFFF"/>
          <w:w w:val="105"/>
        </w:rPr>
        <w:t>Phase-Based Motion Estimation: Benchmark of Two Reference </w:t>
      </w:r>
      <w:r>
        <w:rPr>
          <w:color w:val="FFFFFF"/>
          <w:w w:val="105"/>
        </w:rPr>
        <w:t>Methods</w:t>
      </w:r>
    </w:p>
    <w:p>
      <w:pPr>
        <w:spacing w:before="424"/>
        <w:ind w:left="102" w:right="0" w:firstLine="0"/>
        <w:jc w:val="left"/>
        <w:rPr>
          <w:sz w:val="24"/>
        </w:rPr>
      </w:pPr>
      <w:r>
        <w:rPr>
          <w:color w:val="CFE2FF"/>
          <w:sz w:val="24"/>
        </w:rPr>
        <w:t>Single-scale</w:t>
      </w:r>
      <w:r>
        <w:rPr>
          <w:color w:val="CFE2FF"/>
          <w:spacing w:val="11"/>
          <w:sz w:val="24"/>
        </w:rPr>
        <w:t> </w:t>
      </w:r>
      <w:r>
        <w:rPr>
          <w:color w:val="CFE2FF"/>
          <w:sz w:val="24"/>
        </w:rPr>
        <w:t>Fleet</w:t>
      </w:r>
      <w:r>
        <w:rPr>
          <w:color w:val="CFE2FF"/>
          <w:spacing w:val="56"/>
          <w:sz w:val="24"/>
        </w:rPr>
        <w:t> </w:t>
      </w:r>
      <w:r>
        <w:rPr>
          <w:color w:val="CFE2FF"/>
          <w:sz w:val="24"/>
        </w:rPr>
        <w:t>Jepson</w:t>
      </w:r>
      <w:r>
        <w:rPr>
          <w:color w:val="CFE2FF"/>
          <w:spacing w:val="57"/>
          <w:w w:val="150"/>
          <w:sz w:val="24"/>
        </w:rPr>
        <w:t> </w:t>
      </w:r>
      <w:r>
        <w:rPr>
          <w:color w:val="CFE2FF"/>
          <w:sz w:val="24"/>
        </w:rPr>
        <w:t>vs.</w:t>
      </w:r>
      <w:r>
        <w:rPr>
          <w:color w:val="CFE2FF"/>
          <w:spacing w:val="56"/>
          <w:w w:val="150"/>
          <w:sz w:val="24"/>
        </w:rPr>
        <w:t> </w:t>
      </w:r>
      <w:r>
        <w:rPr>
          <w:color w:val="CFE2FF"/>
          <w:sz w:val="24"/>
        </w:rPr>
        <w:t>multi-scale</w:t>
      </w:r>
      <w:r>
        <w:rPr>
          <w:color w:val="CFE2FF"/>
          <w:spacing w:val="12"/>
          <w:sz w:val="24"/>
        </w:rPr>
        <w:t> </w:t>
      </w:r>
      <w:r>
        <w:rPr>
          <w:color w:val="CFE2FF"/>
          <w:sz w:val="24"/>
        </w:rPr>
        <w:t>coarse-to-fine</w:t>
      </w:r>
      <w:r>
        <w:rPr>
          <w:color w:val="CFE2FF"/>
          <w:spacing w:val="12"/>
          <w:sz w:val="24"/>
        </w:rPr>
        <w:t> </w:t>
      </w:r>
      <w:r>
        <w:rPr>
          <w:color w:val="CFE2FF"/>
          <w:sz w:val="24"/>
        </w:rPr>
        <w:t>(M-</w:t>
      </w:r>
      <w:r>
        <w:rPr>
          <w:color w:val="CFE2FF"/>
          <w:spacing w:val="-4"/>
          <w:sz w:val="24"/>
        </w:rPr>
        <w:t>PME)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</w:p>
    <w:p>
      <w:pPr>
        <w:spacing w:line="290" w:lineRule="auto" w:before="1"/>
        <w:ind w:left="102" w:right="0" w:firstLine="0"/>
        <w:jc w:val="left"/>
        <w:rPr>
          <w:sz w:val="23"/>
        </w:rPr>
      </w:pPr>
      <w:r>
        <w:rPr>
          <w:color w:val="19192E"/>
          <w:w w:val="105"/>
          <w:sz w:val="23"/>
        </w:rPr>
        <w:t>Purpose.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Establish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baseline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benchmarks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for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dense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phase-based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displacement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estimation,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to</w:t>
      </w:r>
      <w:r>
        <w:rPr>
          <w:color w:val="19192E"/>
          <w:spacing w:val="-5"/>
          <w:w w:val="105"/>
          <w:sz w:val="23"/>
        </w:rPr>
        <w:t> </w:t>
      </w:r>
      <w:r>
        <w:rPr>
          <w:color w:val="19192E"/>
          <w:w w:val="105"/>
          <w:sz w:val="23"/>
        </w:rPr>
        <w:t>be compared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against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the</w:t>
      </w:r>
      <w:r>
        <w:rPr>
          <w:color w:val="19192E"/>
          <w:spacing w:val="-16"/>
          <w:w w:val="105"/>
          <w:sz w:val="23"/>
        </w:rPr>
        <w:t> </w:t>
      </w:r>
      <w:r>
        <w:rPr>
          <w:color w:val="19192E"/>
          <w:w w:val="105"/>
          <w:sz w:val="23"/>
        </w:rPr>
        <w:t>ImplicitKalman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approach.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Two</w:t>
      </w:r>
      <w:r>
        <w:rPr>
          <w:color w:val="19192E"/>
          <w:spacing w:val="-16"/>
          <w:w w:val="105"/>
          <w:sz w:val="23"/>
        </w:rPr>
        <w:t> </w:t>
      </w:r>
      <w:r>
        <w:rPr>
          <w:color w:val="19192E"/>
          <w:w w:val="105"/>
          <w:sz w:val="23"/>
        </w:rPr>
        <w:t>standalone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tools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are</w:t>
      </w:r>
      <w:r>
        <w:rPr>
          <w:color w:val="19192E"/>
          <w:spacing w:val="-16"/>
          <w:w w:val="105"/>
          <w:sz w:val="23"/>
        </w:rPr>
        <w:t> </w:t>
      </w:r>
      <w:r>
        <w:rPr>
          <w:color w:val="19192E"/>
          <w:w w:val="105"/>
          <w:sz w:val="23"/>
        </w:rPr>
        <w:t>evaluated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on</w:t>
      </w:r>
      <w:r>
        <w:rPr>
          <w:color w:val="19192E"/>
          <w:spacing w:val="-17"/>
          <w:w w:val="105"/>
          <w:sz w:val="23"/>
        </w:rPr>
        <w:t> </w:t>
      </w:r>
      <w:r>
        <w:rPr>
          <w:color w:val="19192E"/>
          <w:w w:val="105"/>
          <w:sz w:val="23"/>
        </w:rPr>
        <w:t>the</w:t>
      </w:r>
      <w:r>
        <w:rPr>
          <w:color w:val="19192E"/>
          <w:spacing w:val="-16"/>
          <w:w w:val="105"/>
          <w:sz w:val="23"/>
        </w:rPr>
        <w:t> </w:t>
      </w:r>
      <w:r>
        <w:rPr>
          <w:color w:val="19192E"/>
          <w:w w:val="105"/>
          <w:sz w:val="23"/>
        </w:rPr>
        <w:t>same input pair (relief0 -&gt; relief0_sc1), both producing an identical six-panel diagnostic layout.</w:t>
      </w:r>
    </w:p>
    <w:p>
      <w:pPr>
        <w:pStyle w:val="Heading3"/>
        <w:spacing w:before="197"/>
      </w:pPr>
      <w:r>
        <w:rPr>
          <w:color w:val="19192E"/>
          <w:w w:val="105"/>
        </w:rPr>
        <w:t>Key</w:t>
      </w:r>
      <w:r>
        <w:rPr>
          <w:color w:val="19192E"/>
          <w:spacing w:val="-13"/>
          <w:w w:val="105"/>
        </w:rPr>
        <w:t> </w:t>
      </w:r>
      <w:r>
        <w:rPr>
          <w:color w:val="19192E"/>
          <w:spacing w:val="-2"/>
          <w:w w:val="105"/>
        </w:rPr>
        <w:t>finding</w:t>
      </w:r>
    </w:p>
    <w:p>
      <w:pPr>
        <w:pStyle w:val="BodyText"/>
        <w:spacing w:before="183"/>
        <w:rPr>
          <w:b/>
          <w:sz w:val="26"/>
        </w:rPr>
      </w:pPr>
    </w:p>
    <w:p>
      <w:pPr>
        <w:pStyle w:val="BodyText"/>
        <w:spacing w:line="316" w:lineRule="auto"/>
        <w:ind w:left="102" w:right="1103"/>
      </w:pPr>
      <w:r>
        <w:rPr>
          <w:color w:val="19192E"/>
          <w:w w:val="105"/>
        </w:rPr>
        <w:t>A single-scale phase estimate is fundamentally bounded to displacements below half a filter wavelength (the +-pi phase-wrap limit). It fails on the large / peripheral displacements </w:t>
      </w:r>
      <w:r>
        <w:rPr>
          <w:color w:val="19192E"/>
        </w:rPr>
        <w:t>produced by scaling. Decomposing the motion across a Gaussian pyramid (coarse-to-fine </w:t>
      </w:r>
      <w:r>
        <w:rPr>
          <w:color w:val="19192E"/>
        </w:rPr>
        <w:t>with </w:t>
      </w:r>
      <w:r>
        <w:rPr>
          <w:color w:val="19192E"/>
          <w:w w:val="105"/>
        </w:rPr>
        <w:t>rewarping) removes that ceiling: the wrap limit then applies only to the small per-level</w:t>
      </w:r>
    </w:p>
    <w:p>
      <w:pPr>
        <w:pStyle w:val="BodyText"/>
        <w:spacing w:before="5"/>
        <w:ind w:left="102"/>
      </w:pPr>
      <w:r>
        <w:rPr>
          <w:color w:val="19192E"/>
          <w:w w:val="105"/>
        </w:rPr>
        <w:t>residual.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On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test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pair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multi-scale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method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reduces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warp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reconstruction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error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by</w:t>
      </w:r>
      <w:r>
        <w:rPr>
          <w:color w:val="19192E"/>
          <w:spacing w:val="-10"/>
          <w:w w:val="105"/>
        </w:rPr>
        <w:t> </w:t>
      </w:r>
      <w:r>
        <w:rPr>
          <w:color w:val="19192E"/>
          <w:spacing w:val="-4"/>
          <w:w w:val="105"/>
        </w:rPr>
        <w:t>97%.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3"/>
        <w:gridCol w:w="4088"/>
        <w:gridCol w:w="1803"/>
      </w:tblGrid>
      <w:tr>
        <w:trPr>
          <w:trHeight w:val="354" w:hRule="atLeast"/>
        </w:trPr>
        <w:tc>
          <w:tcPr>
            <w:tcW w:w="4133" w:type="dxa"/>
            <w:tcBorders>
              <w:bottom w:val="single" w:sz="2" w:space="0" w:color="0E3D6D"/>
            </w:tcBorders>
            <w:shd w:val="clear" w:color="auto" w:fill="0E3D6D"/>
          </w:tcPr>
          <w:p>
            <w:pPr>
              <w:pStyle w:val="TableParagraph"/>
              <w:spacing w:before="3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w w:val="110"/>
                <w:sz w:val="21"/>
              </w:rPr>
              <w:t>Method</w:t>
            </w:r>
          </w:p>
        </w:tc>
        <w:tc>
          <w:tcPr>
            <w:tcW w:w="4088" w:type="dxa"/>
            <w:tcBorders>
              <w:bottom w:val="single" w:sz="2" w:space="0" w:color="0E3D6D"/>
            </w:tcBorders>
            <w:shd w:val="clear" w:color="auto" w:fill="0E3D6D"/>
          </w:tcPr>
          <w:p>
            <w:pPr>
              <w:pStyle w:val="TableParagraph"/>
              <w:spacing w:before="36"/>
              <w:ind w:left="1533"/>
              <w:rPr>
                <w:b/>
                <w:sz w:val="21"/>
              </w:rPr>
            </w:pPr>
            <w:r>
              <w:rPr>
                <w:b/>
                <w:color w:val="FFFFFF"/>
                <w:w w:val="105"/>
                <w:sz w:val="21"/>
              </w:rPr>
              <w:t>Warp</w:t>
            </w:r>
            <w:r>
              <w:rPr>
                <w:b/>
                <w:color w:val="FFFFFF"/>
                <w:spacing w:val="15"/>
                <w:w w:val="105"/>
                <w:sz w:val="21"/>
              </w:rPr>
              <w:t> </w:t>
            </w:r>
            <w:r>
              <w:rPr>
                <w:b/>
                <w:color w:val="FFFFFF"/>
                <w:w w:val="105"/>
                <w:sz w:val="21"/>
              </w:rPr>
              <w:t>residual</w:t>
            </w:r>
            <w:r>
              <w:rPr>
                <w:b/>
                <w:color w:val="FFFFFF"/>
                <w:spacing w:val="15"/>
                <w:w w:val="105"/>
                <w:sz w:val="21"/>
              </w:rPr>
              <w:t> </w:t>
            </w:r>
            <w:r>
              <w:rPr>
                <w:b/>
                <w:color w:val="FFFFFF"/>
                <w:spacing w:val="-4"/>
                <w:w w:val="105"/>
                <w:sz w:val="21"/>
              </w:rPr>
              <w:t>RMSE</w:t>
            </w:r>
          </w:p>
        </w:tc>
        <w:tc>
          <w:tcPr>
            <w:tcW w:w="1803" w:type="dxa"/>
            <w:tcBorders>
              <w:bottom w:val="single" w:sz="2" w:space="0" w:color="0E3D6D"/>
            </w:tcBorders>
            <w:shd w:val="clear" w:color="auto" w:fill="0E3D6D"/>
          </w:tcPr>
          <w:p>
            <w:pPr>
              <w:pStyle w:val="TableParagraph"/>
              <w:spacing w:before="36"/>
              <w:ind w:left="18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w w:val="110"/>
                <w:sz w:val="21"/>
              </w:rPr>
              <w:t>Verdict</w:t>
            </w:r>
          </w:p>
        </w:tc>
      </w:tr>
      <w:tr>
        <w:trPr>
          <w:trHeight w:val="379" w:hRule="atLeast"/>
        </w:trPr>
        <w:tc>
          <w:tcPr>
            <w:tcW w:w="4133" w:type="dxa"/>
            <w:tcBorders>
              <w:top w:val="single" w:sz="2" w:space="0" w:color="0E3D6D"/>
            </w:tcBorders>
          </w:tcPr>
          <w:p>
            <w:pPr>
              <w:pStyle w:val="TableParagraph"/>
              <w:spacing w:before="47"/>
              <w:rPr>
                <w:sz w:val="21"/>
              </w:rPr>
            </w:pPr>
            <w:r>
              <w:rPr>
                <w:color w:val="19192E"/>
                <w:sz w:val="21"/>
              </w:rPr>
              <w:t>Single-scale</w:t>
            </w:r>
            <w:r>
              <w:rPr>
                <w:color w:val="19192E"/>
                <w:spacing w:val="6"/>
                <w:sz w:val="21"/>
              </w:rPr>
              <w:t> </w:t>
            </w:r>
            <w:r>
              <w:rPr>
                <w:color w:val="19192E"/>
                <w:sz w:val="21"/>
              </w:rPr>
              <w:t>(Fleet-</w:t>
            </w:r>
            <w:r>
              <w:rPr>
                <w:color w:val="19192E"/>
                <w:spacing w:val="-2"/>
                <w:sz w:val="21"/>
              </w:rPr>
              <w:t>Jepson)</w:t>
            </w:r>
          </w:p>
        </w:tc>
        <w:tc>
          <w:tcPr>
            <w:tcW w:w="4088" w:type="dxa"/>
            <w:tcBorders>
              <w:top w:val="single" w:sz="2" w:space="0" w:color="0E3D6D"/>
            </w:tcBorders>
          </w:tcPr>
          <w:p>
            <w:pPr>
              <w:pStyle w:val="TableParagraph"/>
              <w:spacing w:before="47"/>
              <w:ind w:left="1533"/>
              <w:rPr>
                <w:sz w:val="21"/>
              </w:rPr>
            </w:pPr>
            <w:r>
              <w:rPr>
                <w:color w:val="19192E"/>
                <w:w w:val="105"/>
                <w:sz w:val="21"/>
              </w:rPr>
              <w:t>chaotic</w:t>
            </w:r>
            <w:r>
              <w:rPr>
                <w:color w:val="19192E"/>
                <w:spacing w:val="-7"/>
                <w:w w:val="105"/>
                <w:sz w:val="21"/>
              </w:rPr>
              <w:t> </w:t>
            </w:r>
            <w:r>
              <w:rPr>
                <w:color w:val="19192E"/>
                <w:w w:val="105"/>
                <w:sz w:val="21"/>
              </w:rPr>
              <w:t>/</w:t>
            </w:r>
            <w:r>
              <w:rPr>
                <w:color w:val="19192E"/>
                <w:spacing w:val="-6"/>
                <w:w w:val="105"/>
                <w:sz w:val="21"/>
              </w:rPr>
              <w:t> </w:t>
            </w:r>
            <w:r>
              <w:rPr>
                <w:color w:val="19192E"/>
                <w:spacing w:val="-2"/>
                <w:w w:val="105"/>
                <w:sz w:val="21"/>
              </w:rPr>
              <w:t>aliased</w:t>
            </w:r>
          </w:p>
        </w:tc>
        <w:tc>
          <w:tcPr>
            <w:tcW w:w="1803" w:type="dxa"/>
            <w:tcBorders>
              <w:top w:val="single" w:sz="2" w:space="0" w:color="0E3D6D"/>
            </w:tcBorders>
          </w:tcPr>
          <w:p>
            <w:pPr>
              <w:pStyle w:val="TableParagraph"/>
              <w:spacing w:before="47"/>
              <w:ind w:left="184"/>
              <w:rPr>
                <w:sz w:val="21"/>
              </w:rPr>
            </w:pPr>
            <w:r>
              <w:rPr>
                <w:color w:val="19192E"/>
                <w:spacing w:val="-2"/>
                <w:w w:val="105"/>
                <w:sz w:val="21"/>
              </w:rPr>
              <w:t>insufficient</w:t>
            </w:r>
          </w:p>
        </w:tc>
      </w:tr>
      <w:tr>
        <w:trPr>
          <w:trHeight w:val="280" w:hRule="atLeast"/>
        </w:trPr>
        <w:tc>
          <w:tcPr>
            <w:tcW w:w="4133" w:type="dxa"/>
          </w:tcPr>
          <w:p>
            <w:pPr>
              <w:pStyle w:val="TableParagraph"/>
              <w:spacing w:line="222" w:lineRule="exact" w:before="38"/>
              <w:rPr>
                <w:sz w:val="21"/>
              </w:rPr>
            </w:pPr>
            <w:r>
              <w:rPr>
                <w:color w:val="19192E"/>
                <w:sz w:val="21"/>
              </w:rPr>
              <w:t>Multi-scale</w:t>
            </w:r>
            <w:r>
              <w:rPr>
                <w:color w:val="19192E"/>
                <w:spacing w:val="-14"/>
                <w:sz w:val="21"/>
              </w:rPr>
              <w:t> </w:t>
            </w:r>
            <w:r>
              <w:rPr>
                <w:color w:val="19192E"/>
                <w:sz w:val="21"/>
              </w:rPr>
              <w:t>(M-</w:t>
            </w:r>
            <w:r>
              <w:rPr>
                <w:color w:val="19192E"/>
                <w:spacing w:val="-4"/>
                <w:sz w:val="21"/>
              </w:rPr>
              <w:t>PME)</w:t>
            </w:r>
          </w:p>
        </w:tc>
        <w:tc>
          <w:tcPr>
            <w:tcW w:w="4088" w:type="dxa"/>
          </w:tcPr>
          <w:p>
            <w:pPr>
              <w:pStyle w:val="TableParagraph"/>
              <w:spacing w:line="222" w:lineRule="exact" w:before="38"/>
              <w:ind w:left="1533"/>
              <w:rPr>
                <w:sz w:val="21"/>
              </w:rPr>
            </w:pPr>
            <w:r>
              <w:rPr>
                <w:color w:val="19192E"/>
                <w:w w:val="105"/>
                <w:sz w:val="21"/>
              </w:rPr>
              <w:t>121.4</w:t>
            </w:r>
            <w:r>
              <w:rPr>
                <w:color w:val="19192E"/>
                <w:spacing w:val="-1"/>
                <w:w w:val="105"/>
                <w:sz w:val="21"/>
              </w:rPr>
              <w:t> </w:t>
            </w:r>
            <w:r>
              <w:rPr>
                <w:color w:val="19192E"/>
                <w:w w:val="105"/>
                <w:sz w:val="21"/>
              </w:rPr>
              <w:t>-&gt;</w:t>
            </w:r>
            <w:r>
              <w:rPr>
                <w:color w:val="19192E"/>
                <w:spacing w:val="-1"/>
                <w:w w:val="105"/>
                <w:sz w:val="21"/>
              </w:rPr>
              <w:t> </w:t>
            </w:r>
            <w:r>
              <w:rPr>
                <w:color w:val="19192E"/>
                <w:w w:val="105"/>
                <w:sz w:val="21"/>
              </w:rPr>
              <w:t>4.11</w:t>
            </w:r>
            <w:r>
              <w:rPr>
                <w:color w:val="19192E"/>
                <w:spacing w:val="-1"/>
                <w:w w:val="105"/>
                <w:sz w:val="21"/>
              </w:rPr>
              <w:t> </w:t>
            </w:r>
            <w:r>
              <w:rPr>
                <w:color w:val="19192E"/>
                <w:w w:val="105"/>
                <w:sz w:val="21"/>
              </w:rPr>
              <w:t>px</w:t>
            </w:r>
            <w:r>
              <w:rPr>
                <w:color w:val="19192E"/>
                <w:spacing w:val="60"/>
                <w:w w:val="105"/>
                <w:sz w:val="21"/>
              </w:rPr>
              <w:t> </w:t>
            </w:r>
            <w:r>
              <w:rPr>
                <w:color w:val="19192E"/>
                <w:w w:val="105"/>
                <w:sz w:val="21"/>
              </w:rPr>
              <w:t>(-</w:t>
            </w:r>
            <w:r>
              <w:rPr>
                <w:color w:val="19192E"/>
                <w:spacing w:val="-4"/>
                <w:w w:val="105"/>
                <w:sz w:val="21"/>
              </w:rPr>
              <w:t>97%)</w:t>
            </w:r>
          </w:p>
        </w:tc>
        <w:tc>
          <w:tcPr>
            <w:tcW w:w="1803" w:type="dxa"/>
          </w:tcPr>
          <w:p>
            <w:pPr>
              <w:pStyle w:val="TableParagraph"/>
              <w:spacing w:line="222" w:lineRule="exact" w:before="38"/>
              <w:ind w:left="184"/>
              <w:rPr>
                <w:sz w:val="21"/>
              </w:rPr>
            </w:pPr>
            <w:r>
              <w:rPr>
                <w:color w:val="19192E"/>
                <w:spacing w:val="-2"/>
                <w:sz w:val="21"/>
              </w:rPr>
              <w:t>converges</w:t>
            </w: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316" w:lineRule="auto"/>
        <w:ind w:left="102" w:right="1103"/>
      </w:pPr>
      <w:r>
        <w:rPr>
          <w:color w:val="545454"/>
          <w:w w:val="105"/>
        </w:rPr>
        <w:t>Caveat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for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2D-&gt;3D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reconstruction: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even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the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converging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multi-scale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field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is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too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coarse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for</w:t>
      </w:r>
      <w:r>
        <w:rPr>
          <w:color w:val="545454"/>
          <w:spacing w:val="-12"/>
          <w:w w:val="105"/>
        </w:rPr>
        <w:t> </w:t>
      </w:r>
      <w:r>
        <w:rPr>
          <w:color w:val="545454"/>
          <w:w w:val="105"/>
        </w:rPr>
        <w:t>depth reconstruction. Phase information exists only at textured edges and is interpolated across flat regions,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so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the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field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is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not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sub-pixel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smooth.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This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is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the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gap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ImplicitKalman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aims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to</w:t>
      </w:r>
      <w:r>
        <w:rPr>
          <w:color w:val="545454"/>
          <w:spacing w:val="-2"/>
          <w:w w:val="105"/>
        </w:rPr>
        <w:t> </w:t>
      </w:r>
      <w:r>
        <w:rPr>
          <w:color w:val="545454"/>
          <w:w w:val="105"/>
        </w:rPr>
        <w:t>close.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1"/>
        <w:rPr>
          <w:sz w:val="19"/>
        </w:rPr>
      </w:pPr>
    </w:p>
    <w:p>
      <w:pPr>
        <w:spacing w:before="1"/>
        <w:ind w:left="102" w:right="0" w:firstLine="0"/>
        <w:jc w:val="left"/>
        <w:rPr>
          <w:sz w:val="18"/>
        </w:rPr>
      </w:pPr>
      <w:r>
        <w:rPr>
          <w:color w:val="545454"/>
          <w:sz w:val="18"/>
        </w:rPr>
        <w:t>Generated</w:t>
      </w:r>
      <w:r>
        <w:rPr>
          <w:color w:val="545454"/>
          <w:spacing w:val="-10"/>
          <w:sz w:val="18"/>
        </w:rPr>
        <w:t> </w:t>
      </w:r>
      <w:r>
        <w:rPr>
          <w:color w:val="545454"/>
          <w:sz w:val="18"/>
        </w:rPr>
        <w:t>2026-07-14</w:t>
      </w:r>
      <w:r>
        <w:rPr>
          <w:color w:val="545454"/>
          <w:spacing w:val="67"/>
          <w:w w:val="150"/>
          <w:sz w:val="18"/>
        </w:rPr>
        <w:t> </w:t>
      </w:r>
      <w:r>
        <w:rPr>
          <w:color w:val="545454"/>
          <w:spacing w:val="-24"/>
          <w:position w:val="4"/>
          <w:sz w:val="18"/>
        </w:rPr>
        <w:drawing>
          <wp:inline distT="0" distB="0" distL="0" distR="0">
            <wp:extent cx="29464" cy="2936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4" cy="2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spacing w:val="-24"/>
          <w:position w:val="4"/>
          <w:sz w:val="18"/>
        </w:rPr>
      </w:r>
      <w:r>
        <w:rPr>
          <w:rFonts w:ascii="Times New Roman"/>
          <w:color w:val="545454"/>
          <w:spacing w:val="35"/>
          <w:sz w:val="18"/>
        </w:rPr>
        <w:t>  </w:t>
      </w:r>
      <w:r>
        <w:rPr>
          <w:color w:val="545454"/>
          <w:sz w:val="18"/>
        </w:rPr>
        <w:t>src/PhaseFlowLocalFreq.py,</w:t>
      </w:r>
      <w:r>
        <w:rPr>
          <w:color w:val="545454"/>
          <w:spacing w:val="-9"/>
          <w:sz w:val="18"/>
        </w:rPr>
        <w:t> </w:t>
      </w:r>
      <w:r>
        <w:rPr>
          <w:color w:val="545454"/>
          <w:spacing w:val="-2"/>
          <w:sz w:val="18"/>
        </w:rPr>
        <w:t>src/MultiScalePhaseFlow.py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0" w:bottom="280" w:left="850" w:right="708"/>
        </w:sectPr>
      </w:pPr>
    </w:p>
    <w:p>
      <w:pPr>
        <w:pStyle w:val="BodyText"/>
        <w:spacing w:before="6"/>
        <w:rPr>
          <w:sz w:val="14"/>
        </w:rPr>
      </w:pPr>
    </w:p>
    <w:p>
      <w:pPr>
        <w:spacing w:line="20" w:lineRule="exact"/>
        <w:ind w:left="10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52540" cy="38100"/>
                <wp:effectExtent l="19050" t="0" r="1016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52540" cy="38100"/>
                          <a:chExt cx="6352540" cy="381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9050"/>
                            <a:ext cx="635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0">
                                <a:moveTo>
                                  <a:pt x="0" y="0"/>
                                </a:moveTo>
                                <a:lnTo>
                                  <a:pt x="6352153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E3D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pt;mso-position-horizontal-relative:char;mso-position-vertical-relative:line" id="docshapegroup6" coordorigin="0,0" coordsize="10004,60">
                <v:line style="position:absolute" from="0,30" to="10003,30" stroked="true" strokeweight="3pt" strokecolor="#0e3d6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8"/>
        <w:rPr>
          <w:sz w:val="34"/>
        </w:rPr>
      </w:pPr>
    </w:p>
    <w:p>
      <w:pPr>
        <w:pStyle w:val="Heading2"/>
        <w:tabs>
          <w:tab w:pos="5947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4037185</wp:posOffset>
                </wp:positionH>
                <wp:positionV relativeFrom="paragraph">
                  <wp:posOffset>153925</wp:posOffset>
                </wp:positionV>
                <wp:extent cx="193040" cy="2730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9304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" h="27305">
                              <a:moveTo>
                                <a:pt x="192582" y="0"/>
                              </a:moveTo>
                              <a:lnTo>
                                <a:pt x="0" y="0"/>
                              </a:lnTo>
                              <a:lnTo>
                                <a:pt x="0" y="27203"/>
                              </a:lnTo>
                              <a:lnTo>
                                <a:pt x="192582" y="27203"/>
                              </a:lnTo>
                              <a:lnTo>
                                <a:pt x="192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7.888641pt;margin-top:12.120135pt;width:15.164001pt;height:2.142pt;mso-position-horizontal-relative:page;mso-position-vertical-relative:paragraph;z-index:-15905280" id="docshape7" filled="true" fillcolor="#19192e" stroked="false">
                <v:fill type="solid"/>
                <w10:wrap type="none"/>
              </v:rect>
            </w:pict>
          </mc:Fallback>
        </mc:AlternateContent>
      </w:r>
      <w:r>
        <w:rPr>
          <w:color w:val="19192E"/>
          <w:w w:val="105"/>
        </w:rPr>
        <w:t>Why</w:t>
      </w:r>
      <w:r>
        <w:rPr>
          <w:color w:val="19192E"/>
          <w:spacing w:val="-16"/>
          <w:w w:val="105"/>
        </w:rPr>
        <w:t> </w:t>
      </w:r>
      <w:r>
        <w:rPr>
          <w:color w:val="19192E"/>
          <w:w w:val="105"/>
        </w:rPr>
        <w:t>phase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encodes</w:t>
      </w:r>
      <w:r>
        <w:rPr>
          <w:color w:val="19192E"/>
          <w:spacing w:val="-15"/>
          <w:w w:val="105"/>
        </w:rPr>
        <w:t> </w:t>
      </w:r>
      <w:r>
        <w:rPr>
          <w:color w:val="19192E"/>
          <w:spacing w:val="-2"/>
          <w:w w:val="105"/>
        </w:rPr>
        <w:t>motion</w:t>
      </w:r>
      <w:r>
        <w:rPr>
          <w:color w:val="19192E"/>
        </w:rPr>
        <w:tab/>
      </w:r>
      <w:r>
        <w:rPr>
          <w:color w:val="19192E"/>
          <w:w w:val="105"/>
        </w:rPr>
        <w:t>and</w:t>
      </w:r>
      <w:r>
        <w:rPr>
          <w:color w:val="19192E"/>
          <w:spacing w:val="25"/>
          <w:w w:val="105"/>
        </w:rPr>
        <w:t> </w:t>
      </w:r>
      <w:r>
        <w:rPr>
          <w:color w:val="19192E"/>
          <w:w w:val="105"/>
        </w:rPr>
        <w:t>where</w:t>
      </w:r>
      <w:r>
        <w:rPr>
          <w:color w:val="19192E"/>
          <w:spacing w:val="26"/>
          <w:w w:val="105"/>
        </w:rPr>
        <w:t> </w:t>
      </w:r>
      <w:r>
        <w:rPr>
          <w:color w:val="19192E"/>
          <w:w w:val="105"/>
        </w:rPr>
        <w:t>it</w:t>
      </w:r>
      <w:r>
        <w:rPr>
          <w:color w:val="19192E"/>
          <w:spacing w:val="25"/>
          <w:w w:val="105"/>
        </w:rPr>
        <w:t> </w:t>
      </w:r>
      <w:r>
        <w:rPr>
          <w:color w:val="19192E"/>
          <w:spacing w:val="-2"/>
          <w:w w:val="105"/>
        </w:rPr>
        <w:t>breaks</w:t>
      </w:r>
    </w:p>
    <w:p>
      <w:pPr>
        <w:pStyle w:val="BodyText"/>
        <w:spacing w:before="71"/>
        <w:rPr>
          <w:b/>
          <w:sz w:val="19"/>
        </w:rPr>
      </w:pPr>
    </w:p>
    <w:p>
      <w:pPr>
        <w:pStyle w:val="BodyText"/>
        <w:ind w:left="102"/>
      </w:pPr>
      <w:r>
        <w:rPr>
          <w:color w:val="19192E"/>
          <w:spacing w:val="-2"/>
          <w:w w:val="105"/>
        </w:rPr>
        <w:t>Fourier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shift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theorem.</w:t>
      </w:r>
      <w:r>
        <w:rPr>
          <w:color w:val="19192E"/>
          <w:spacing w:val="-5"/>
          <w:w w:val="105"/>
        </w:rPr>
        <w:t> </w:t>
      </w:r>
      <w:r>
        <w:rPr>
          <w:color w:val="19192E"/>
          <w:spacing w:val="-2"/>
          <w:w w:val="105"/>
        </w:rPr>
        <w:t>A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local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displacement</w:t>
      </w:r>
      <w:r>
        <w:rPr>
          <w:color w:val="19192E"/>
          <w:spacing w:val="-5"/>
          <w:w w:val="105"/>
        </w:rPr>
        <w:t> </w:t>
      </w:r>
      <w:r>
        <w:rPr>
          <w:color w:val="19192E"/>
          <w:spacing w:val="-2"/>
          <w:w w:val="105"/>
        </w:rPr>
        <w:t>delta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shifts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the</w:t>
      </w:r>
      <w:r>
        <w:rPr>
          <w:color w:val="19192E"/>
          <w:spacing w:val="-5"/>
          <w:w w:val="105"/>
        </w:rPr>
        <w:t> </w:t>
      </w:r>
      <w:r>
        <w:rPr>
          <w:color w:val="19192E"/>
          <w:spacing w:val="-2"/>
          <w:w w:val="105"/>
        </w:rPr>
        <w:t>phase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of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a</w:t>
      </w:r>
      <w:r>
        <w:rPr>
          <w:color w:val="19192E"/>
          <w:spacing w:val="-5"/>
          <w:w w:val="105"/>
        </w:rPr>
        <w:t> </w:t>
      </w:r>
      <w:r>
        <w:rPr>
          <w:color w:val="19192E"/>
          <w:spacing w:val="-2"/>
          <w:w w:val="105"/>
        </w:rPr>
        <w:t>complex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band-pass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(Gabor</w:t>
      </w:r>
    </w:p>
    <w:p>
      <w:pPr>
        <w:pStyle w:val="BodyText"/>
        <w:spacing w:before="78"/>
        <w:ind w:left="102"/>
      </w:pPr>
      <w:r>
        <w:rPr>
          <w:color w:val="19192E"/>
        </w:rPr>
        <w:t>/</w:t>
      </w:r>
      <w:r>
        <w:rPr>
          <w:color w:val="19192E"/>
          <w:spacing w:val="11"/>
        </w:rPr>
        <w:t> </w:t>
      </w:r>
      <w:r>
        <w:rPr>
          <w:color w:val="19192E"/>
        </w:rPr>
        <w:t>steerable)</w:t>
      </w:r>
      <w:r>
        <w:rPr>
          <w:color w:val="19192E"/>
          <w:spacing w:val="11"/>
        </w:rPr>
        <w:t> </w:t>
      </w:r>
      <w:r>
        <w:rPr>
          <w:color w:val="19192E"/>
        </w:rPr>
        <w:t>response</w:t>
      </w:r>
      <w:r>
        <w:rPr>
          <w:color w:val="19192E"/>
          <w:spacing w:val="12"/>
        </w:rPr>
        <w:t> </w:t>
      </w:r>
      <w:r>
        <w:rPr>
          <w:color w:val="19192E"/>
          <w:spacing w:val="-2"/>
        </w:rPr>
        <w:t>linearly:</w:t>
      </w:r>
    </w:p>
    <w:p>
      <w:pPr>
        <w:pStyle w:val="BodyText"/>
        <w:spacing w:before="88"/>
        <w:rPr>
          <w:sz w:val="19"/>
        </w:rPr>
      </w:pPr>
    </w:p>
    <w:p>
      <w:pPr>
        <w:spacing w:before="0"/>
        <w:ind w:left="581" w:right="0" w:firstLine="0"/>
        <w:jc w:val="left"/>
        <w:rPr>
          <w:i/>
          <w:sz w:val="33"/>
        </w:rPr>
      </w:pPr>
      <w:r>
        <w:rPr>
          <w:position w:val="-5"/>
        </w:rPr>
        <w:drawing>
          <wp:inline distT="0" distB="0" distL="0" distR="0">
            <wp:extent cx="248775" cy="17830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75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color w:val="19192E"/>
          <w:w w:val="110"/>
          <w:position w:val="1"/>
          <w:sz w:val="33"/>
        </w:rPr>
        <w:t>=</w:t>
      </w:r>
      <w:r>
        <w:rPr>
          <w:color w:val="19192E"/>
          <w:spacing w:val="40"/>
          <w:w w:val="110"/>
          <w:position w:val="1"/>
          <w:sz w:val="33"/>
        </w:rPr>
        <w:t> </w:t>
      </w:r>
      <w:r>
        <w:rPr>
          <w:color w:val="19192E"/>
          <w:spacing w:val="16"/>
          <w:w w:val="110"/>
          <w:position w:val="1"/>
          <w:sz w:val="33"/>
        </w:rPr>
        <w:t>2</w:t>
      </w:r>
      <w:r>
        <w:rPr>
          <w:color w:val="19192E"/>
          <w:spacing w:val="16"/>
          <w:sz w:val="33"/>
        </w:rPr>
        <w:drawing>
          <wp:inline distT="0" distB="0" distL="0" distR="0">
            <wp:extent cx="106679" cy="1076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" cy="1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2E"/>
          <w:spacing w:val="16"/>
          <w:sz w:val="33"/>
        </w:rPr>
      </w:r>
      <w:r>
        <w:rPr>
          <w:i/>
          <w:color w:val="19192E"/>
          <w:w w:val="110"/>
          <w:position w:val="1"/>
          <w:sz w:val="33"/>
        </w:rPr>
        <w:t>k</w:t>
      </w:r>
      <w:r>
        <w:rPr>
          <w:i/>
          <w:color w:val="19192E"/>
          <w:spacing w:val="-15"/>
          <w:w w:val="110"/>
          <w:position w:val="1"/>
          <w:sz w:val="33"/>
        </w:rPr>
        <w:t> </w:t>
      </w:r>
      <w:r>
        <w:rPr>
          <w:i/>
          <w:color w:val="19192E"/>
          <w:spacing w:val="-35"/>
          <w:sz w:val="33"/>
        </w:rPr>
        <w:drawing>
          <wp:inline distT="0" distB="0" distL="0" distR="0">
            <wp:extent cx="100509" cy="14382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09" cy="1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19192E"/>
          <w:spacing w:val="-35"/>
          <w:sz w:val="33"/>
        </w:rPr>
      </w:r>
    </w:p>
    <w:p>
      <w:pPr>
        <w:pStyle w:val="BodyText"/>
        <w:spacing w:before="201"/>
        <w:rPr>
          <w:i/>
          <w:sz w:val="19"/>
        </w:rPr>
      </w:pPr>
    </w:p>
    <w:p>
      <w:pPr>
        <w:pStyle w:val="BodyText"/>
        <w:spacing w:line="316" w:lineRule="auto"/>
        <w:ind w:left="102" w:right="1103"/>
      </w:pPr>
      <w:r>
        <w:rPr>
          <w:color w:val="19192E"/>
          <w:w w:val="105"/>
        </w:rPr>
        <w:t>where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k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local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spatial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frequency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(cycles/px).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Inverting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gives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displacement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from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the measured phase difference:</w:t>
      </w:r>
    </w:p>
    <w:p>
      <w:pPr>
        <w:pStyle w:val="BodyText"/>
        <w:spacing w:before="18"/>
        <w:rPr>
          <w:sz w:val="19"/>
        </w:rPr>
      </w:pPr>
    </w:p>
    <w:p>
      <w:pPr>
        <w:tabs>
          <w:tab w:pos="1383" w:val="left" w:leader="none"/>
        </w:tabs>
        <w:spacing w:before="1"/>
        <w:ind w:left="587" w:right="0" w:firstLine="0"/>
        <w:jc w:val="left"/>
        <w:rPr>
          <w:position w:val="1"/>
          <w:sz w:val="23"/>
        </w:rPr>
      </w:pPr>
      <w:r>
        <w:rPr>
          <w:position w:val="6"/>
        </w:rPr>
        <w:drawing>
          <wp:inline distT="0" distB="0" distL="0" distR="0">
            <wp:extent cx="100509" cy="1438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09" cy="1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</w:rPr>
      </w:r>
      <w:r>
        <w:rPr>
          <w:rFonts w:ascii="Times New Roman"/>
          <w:spacing w:val="80"/>
          <w:w w:val="115"/>
          <w:position w:val="6"/>
          <w:sz w:val="20"/>
        </w:rPr>
        <w:t> </w:t>
      </w:r>
      <w:r>
        <w:rPr>
          <w:color w:val="19192E"/>
          <w:w w:val="115"/>
          <w:position w:val="6"/>
          <w:sz w:val="33"/>
        </w:rPr>
        <w:t>=</w:t>
      </w:r>
      <w:r>
        <w:rPr>
          <w:color w:val="19192E"/>
          <w:position w:val="6"/>
          <w:sz w:val="33"/>
        </w:rPr>
        <w:tab/>
      </w:r>
      <w:r>
        <w:rPr>
          <w:color w:val="19192E"/>
          <w:position w:val="14"/>
          <w:sz w:val="33"/>
        </w:rPr>
        <w:drawing>
          <wp:inline distT="0" distB="0" distL="0" distR="0">
            <wp:extent cx="119252" cy="1581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52" cy="1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2E"/>
          <w:position w:val="14"/>
          <w:sz w:val="33"/>
        </w:rPr>
      </w:r>
      <w:r>
        <w:rPr>
          <w:rFonts w:ascii="Times New Roman"/>
          <w:color w:val="19192E"/>
          <w:spacing w:val="40"/>
          <w:sz w:val="33"/>
        </w:rPr>
        <w:t> </w:t>
      </w:r>
      <w:r>
        <w:rPr>
          <w:rFonts w:ascii="Times New Roman"/>
          <w:color w:val="19192E"/>
          <w:spacing w:val="-24"/>
          <w:sz w:val="33"/>
        </w:rPr>
        <w:drawing>
          <wp:inline distT="0" distB="0" distL="0" distR="0">
            <wp:extent cx="248775" cy="17830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75" cy="17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9192E"/>
          <w:spacing w:val="-24"/>
          <w:sz w:val="33"/>
        </w:rPr>
      </w:r>
      <w:r>
        <w:rPr>
          <w:rFonts w:ascii="Times New Roman"/>
          <w:color w:val="19192E"/>
          <w:position w:val="6"/>
          <w:sz w:val="33"/>
        </w:rPr>
        <w:t> </w:t>
      </w:r>
      <w:r>
        <w:rPr>
          <w:color w:val="19192E"/>
          <w:w w:val="110"/>
          <w:position w:val="6"/>
          <w:sz w:val="33"/>
        </w:rPr>
        <w:t>/</w:t>
      </w:r>
      <w:r>
        <w:rPr>
          <w:color w:val="19192E"/>
          <w:spacing w:val="-37"/>
          <w:w w:val="110"/>
          <w:position w:val="6"/>
          <w:sz w:val="33"/>
        </w:rPr>
        <w:t> </w:t>
      </w:r>
      <w:r>
        <w:rPr>
          <w:i/>
          <w:color w:val="19192E"/>
          <w:w w:val="115"/>
          <w:position w:val="6"/>
          <w:sz w:val="33"/>
        </w:rPr>
        <w:t>k</w:t>
      </w:r>
      <w:r>
        <w:rPr>
          <w:color w:val="19192E"/>
          <w:w w:val="115"/>
          <w:position w:val="1"/>
          <w:sz w:val="23"/>
        </w:rPr>
        <w:t>local</w:t>
      </w:r>
    </w:p>
    <w:p>
      <w:pPr>
        <w:pStyle w:val="BodyText"/>
        <w:spacing w:before="165"/>
        <w:rPr>
          <w:sz w:val="19"/>
        </w:rPr>
      </w:pPr>
    </w:p>
    <w:p>
      <w:pPr>
        <w:pStyle w:val="BodyText"/>
        <w:spacing w:line="316" w:lineRule="auto"/>
        <w:ind w:left="102" w:right="1103"/>
      </w:pPr>
      <w:r>
        <w:rPr>
          <w:color w:val="19192E"/>
        </w:rPr>
        <w:t>Crucial detail (Fleet &amp; Jepson): k must be the MEASURED instantaneous frequency k = </w:t>
      </w:r>
      <w:r>
        <w:rPr>
          <w:color w:val="19192E"/>
        </w:rPr>
        <w:t>grad(phi), </w:t>
      </w:r>
      <w:r>
        <w:rPr>
          <w:color w:val="19192E"/>
          <w:w w:val="105"/>
        </w:rPr>
        <w:t>estimated via Im(grad R * conj(R) / |R|^2), not the filter's nominal centre frequency. Using the nominal value biases every octave differently.</w:t>
      </w:r>
    </w:p>
    <w:p>
      <w:pPr>
        <w:pStyle w:val="Heading3"/>
        <w:spacing w:before="113"/>
      </w:pPr>
      <w:r>
        <w:rPr>
          <w:color w:val="19192E"/>
        </w:rPr>
        <w:t>The</w:t>
      </w:r>
      <w:r>
        <w:rPr>
          <w:color w:val="19192E"/>
          <w:spacing w:val="41"/>
        </w:rPr>
        <w:t> </w:t>
      </w:r>
      <w:r>
        <w:rPr>
          <w:color w:val="19192E"/>
        </w:rPr>
        <w:t>hard</w:t>
      </w:r>
      <w:r>
        <w:rPr>
          <w:color w:val="19192E"/>
          <w:spacing w:val="41"/>
        </w:rPr>
        <w:t> </w:t>
      </w:r>
      <w:r>
        <w:rPr>
          <w:color w:val="19192E"/>
          <w:spacing w:val="-2"/>
        </w:rPr>
        <w:t>limit</w:t>
      </w:r>
    </w:p>
    <w:p>
      <w:pPr>
        <w:pStyle w:val="BodyText"/>
        <w:spacing w:before="269"/>
        <w:rPr>
          <w:b/>
          <w:sz w:val="26"/>
        </w:rPr>
      </w:pPr>
    </w:p>
    <w:p>
      <w:pPr>
        <w:pStyle w:val="BodyText"/>
        <w:ind w:left="102"/>
      </w:pPr>
      <w:r>
        <w:rPr>
          <w:color w:val="19192E"/>
          <w:w w:val="105"/>
        </w:rPr>
        <w:t>Phase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unique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only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in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(-pi,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pi].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Wrapping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occurs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once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|Delta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phi|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&gt;</w:t>
      </w:r>
      <w:r>
        <w:rPr>
          <w:color w:val="19192E"/>
          <w:spacing w:val="-11"/>
          <w:w w:val="105"/>
        </w:rPr>
        <w:t> </w:t>
      </w:r>
      <w:r>
        <w:rPr>
          <w:color w:val="19192E"/>
          <w:w w:val="105"/>
        </w:rPr>
        <w:t>pi,</w:t>
      </w:r>
      <w:r>
        <w:rPr>
          <w:color w:val="19192E"/>
          <w:spacing w:val="-11"/>
          <w:w w:val="105"/>
        </w:rPr>
        <w:t> </w:t>
      </w:r>
      <w:r>
        <w:rPr>
          <w:color w:val="19192E"/>
          <w:spacing w:val="-4"/>
          <w:w w:val="105"/>
        </w:rPr>
        <w:t>i.e.</w: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6"/>
          <w:pgSz w:w="11910" w:h="16840"/>
          <w:pgMar w:header="559" w:footer="0" w:top="740" w:bottom="280" w:left="850" w:right="708"/>
        </w:sectPr>
      </w:pPr>
    </w:p>
    <w:p>
      <w:pPr>
        <w:spacing w:line="430" w:lineRule="exact" w:before="21"/>
        <w:ind w:left="587" w:right="0" w:firstLine="0"/>
        <w:jc w:val="left"/>
        <w:rPr>
          <w:position w:val="18"/>
          <w:sz w:val="33"/>
        </w:rPr>
      </w:pPr>
      <w:r>
        <w:rPr>
          <w:position w:val="18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2240766</wp:posOffset>
                </wp:positionH>
                <wp:positionV relativeFrom="paragraph">
                  <wp:posOffset>64590</wp:posOffset>
                </wp:positionV>
                <wp:extent cx="129539" cy="19240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29539" cy="192405"/>
                          <a:chExt cx="129539" cy="19240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55" cy="144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8191" y="180498"/>
                            <a:ext cx="12128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12065">
                                <a:moveTo>
                                  <a:pt x="121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6"/>
                                </a:lnTo>
                                <a:lnTo>
                                  <a:pt x="121201" y="11906"/>
                                </a:lnTo>
                                <a:lnTo>
                                  <a:pt x="12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438293pt;margin-top:5.085878pt;width:10.2pt;height:15.15pt;mso-position-horizontal-relative:page;mso-position-vertical-relative:paragraph;z-index:15730176" id="docshapegroup8" coordorigin="3529,102" coordsize="204,303">
                <v:shape style="position:absolute;left:3528;top:101;width:160;height:228" type="#_x0000_t75" id="docshape9" stroked="false">
                  <v:imagedata r:id="rId13" o:title=""/>
                </v:shape>
                <v:rect style="position:absolute;left:3541;top:385;width:191;height:19" id="docshape10" filled="true" fillcolor="#19192e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position w:val="18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412224">
                <wp:simplePos x="0" y="0"/>
                <wp:positionH relativeFrom="page">
                  <wp:posOffset>2000678</wp:posOffset>
                </wp:positionH>
                <wp:positionV relativeFrom="paragraph">
                  <wp:posOffset>147271</wp:posOffset>
                </wp:positionV>
                <wp:extent cx="160020" cy="1905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6002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9" w:lineRule="exact" w:before="0"/>
                              <w:ind w:left="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19192E"/>
                                <w:spacing w:val="-10"/>
                                <w:w w:val="130"/>
                                <w:sz w:val="33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533707pt;margin-top:11.59619pt;width:12.6pt;height:15pt;mso-position-horizontal-relative:page;mso-position-vertical-relative:paragraph;z-index:-15904256" type="#_x0000_t202" id="docshape11" filled="false" stroked="false">
                <v:textbox inset="0,0,0,0">
                  <w:txbxContent>
                    <w:p>
                      <w:pPr>
                        <w:spacing w:line="299" w:lineRule="exact" w:before="0"/>
                        <w:ind w:left="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19192E"/>
                          <w:spacing w:val="-10"/>
                          <w:w w:val="130"/>
                          <w:sz w:val="33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100509" cy="14382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09" cy="1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color w:val="19192E"/>
          <w:w w:val="110"/>
          <w:sz w:val="23"/>
        </w:rPr>
        <w:t>max</w:t>
      </w:r>
      <w:r>
        <w:rPr>
          <w:color w:val="19192E"/>
          <w:spacing w:val="55"/>
          <w:w w:val="150"/>
          <w:sz w:val="23"/>
        </w:rPr>
        <w:t> </w:t>
      </w:r>
      <w:r>
        <w:rPr>
          <w:color w:val="19192E"/>
          <w:w w:val="110"/>
          <w:position w:val="5"/>
          <w:sz w:val="33"/>
        </w:rPr>
        <w:t>=</w:t>
      </w:r>
      <w:r>
        <w:rPr>
          <w:color w:val="19192E"/>
          <w:spacing w:val="44"/>
          <w:w w:val="110"/>
          <w:position w:val="5"/>
          <w:sz w:val="33"/>
        </w:rPr>
        <w:t> </w:t>
      </w:r>
      <w:r>
        <w:rPr>
          <w:color w:val="19192E"/>
          <w:spacing w:val="-18"/>
          <w:w w:val="110"/>
          <w:position w:val="18"/>
          <w:sz w:val="33"/>
          <w:u w:val="single" w:color="19192E"/>
        </w:rPr>
        <w:t> </w:t>
      </w:r>
      <w:r>
        <w:rPr>
          <w:color w:val="19192E"/>
          <w:spacing w:val="-10"/>
          <w:w w:val="110"/>
          <w:position w:val="18"/>
          <w:sz w:val="33"/>
          <w:u w:val="single" w:color="19192E"/>
        </w:rPr>
        <w:t>1</w:t>
      </w:r>
      <w:r>
        <w:rPr>
          <w:color w:val="19192E"/>
          <w:spacing w:val="40"/>
          <w:w w:val="110"/>
          <w:position w:val="18"/>
          <w:sz w:val="33"/>
          <w:u w:val="single" w:color="19192E"/>
        </w:rPr>
        <w:t> </w:t>
      </w:r>
    </w:p>
    <w:p>
      <w:pPr>
        <w:tabs>
          <w:tab w:pos="2691" w:val="left" w:leader="none"/>
        </w:tabs>
        <w:spacing w:line="271" w:lineRule="exact" w:before="0"/>
        <w:ind w:left="1758" w:right="0" w:firstLine="0"/>
        <w:jc w:val="left"/>
        <w:rPr>
          <w:sz w:val="33"/>
        </w:rPr>
      </w:pPr>
      <w:r>
        <w:rPr>
          <w:color w:val="19192E"/>
          <w:spacing w:val="-5"/>
          <w:w w:val="105"/>
          <w:sz w:val="33"/>
        </w:rPr>
        <w:t>2</w:t>
      </w:r>
      <w:r>
        <w:rPr>
          <w:i/>
          <w:color w:val="19192E"/>
          <w:spacing w:val="-5"/>
          <w:w w:val="105"/>
          <w:sz w:val="33"/>
        </w:rPr>
        <w:t>k</w:t>
      </w:r>
      <w:r>
        <w:rPr>
          <w:i/>
          <w:color w:val="19192E"/>
          <w:sz w:val="33"/>
        </w:rPr>
        <w:tab/>
      </w:r>
      <w:r>
        <w:rPr>
          <w:color w:val="19192E"/>
          <w:spacing w:val="-12"/>
          <w:w w:val="105"/>
          <w:sz w:val="33"/>
        </w:rPr>
        <w:t>2</w:t>
      </w:r>
    </w:p>
    <w:p>
      <w:pPr>
        <w:spacing w:before="151"/>
        <w:ind w:left="188" w:right="0" w:firstLine="0"/>
        <w:jc w:val="left"/>
        <w:rPr>
          <w:sz w:val="33"/>
        </w:rPr>
      </w:pPr>
      <w:r>
        <w:rPr/>
        <w:br w:type="column"/>
      </w:r>
      <w:r>
        <w:rPr>
          <w:color w:val="19192E"/>
          <w:sz w:val="33"/>
        </w:rPr>
        <w:t>per</w:t>
      </w:r>
      <w:r>
        <w:rPr>
          <w:color w:val="19192E"/>
          <w:spacing w:val="16"/>
          <w:sz w:val="33"/>
        </w:rPr>
        <w:t> </w:t>
      </w:r>
      <w:r>
        <w:rPr>
          <w:color w:val="19192E"/>
          <w:sz w:val="33"/>
        </w:rPr>
        <w:t>sub-</w:t>
      </w:r>
      <w:r>
        <w:rPr>
          <w:color w:val="19192E"/>
          <w:spacing w:val="-4"/>
          <w:sz w:val="33"/>
        </w:rPr>
        <w:t>band</w:t>
      </w:r>
    </w:p>
    <w:p>
      <w:pPr>
        <w:spacing w:after="0"/>
        <w:jc w:val="left"/>
        <w:rPr>
          <w:sz w:val="33"/>
        </w:rPr>
        <w:sectPr>
          <w:type w:val="continuous"/>
          <w:pgSz w:w="11910" w:h="16840"/>
          <w:pgMar w:header="559" w:footer="0" w:top="0" w:bottom="280" w:left="850" w:right="708"/>
          <w:cols w:num="2" w:equalWidth="0">
            <w:col w:w="2883" w:space="40"/>
            <w:col w:w="7429"/>
          </w:cols>
        </w:sectPr>
      </w:pPr>
    </w:p>
    <w:p>
      <w:pPr>
        <w:pStyle w:val="BodyText"/>
        <w:spacing w:line="316" w:lineRule="auto" w:before="177"/>
        <w:ind w:left="102" w:right="1103"/>
      </w:pPr>
      <w:r>
        <w:rPr>
          <w:color w:val="19192E"/>
          <w:w w:val="105"/>
        </w:rPr>
        <w:t>Scaling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worst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case: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displacement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grows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with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radius,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delta(r)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=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(s-1)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r.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It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tiny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at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the centre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(works)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and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large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at</w:t>
      </w:r>
      <w:r>
        <w:rPr>
          <w:color w:val="19192E"/>
          <w:spacing w:val="-9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periphery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(aliases)</w:t>
      </w:r>
      <w:r>
        <w:rPr>
          <w:color w:val="19192E"/>
          <w:spacing w:val="-2"/>
          <w:w w:val="105"/>
        </w:rPr>
        <w:t> </w:t>
      </w:r>
      <w:r>
        <w:rPr>
          <w:color w:val="19192E"/>
          <w:spacing w:val="11"/>
          <w:position w:val="5"/>
        </w:rPr>
        <w:drawing>
          <wp:inline distT="0" distB="0" distL="0" distR="0">
            <wp:extent cx="108826" cy="844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26" cy="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2E"/>
          <w:spacing w:val="11"/>
          <w:position w:val="5"/>
        </w:rPr>
      </w:r>
      <w:r>
        <w:rPr>
          <w:rFonts w:ascii="Times New Roman"/>
          <w:color w:val="19192E"/>
          <w:spacing w:val="-3"/>
        </w:rPr>
        <w:t> </w:t>
      </w:r>
      <w:r>
        <w:rPr>
          <w:color w:val="19192E"/>
          <w:w w:val="105"/>
        </w:rPr>
        <w:t>exactly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9"/>
          <w:w w:val="105"/>
        </w:rPr>
        <w:t> </w:t>
      </w:r>
      <w:r>
        <w:rPr>
          <w:color w:val="19192E"/>
          <w:w w:val="105"/>
        </w:rPr>
        <w:t>mixed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failure</w:t>
      </w:r>
      <w:r>
        <w:rPr>
          <w:color w:val="19192E"/>
          <w:spacing w:val="-10"/>
          <w:w w:val="105"/>
        </w:rPr>
        <w:t> </w:t>
      </w:r>
      <w:r>
        <w:rPr>
          <w:color w:val="19192E"/>
          <w:w w:val="105"/>
        </w:rPr>
        <w:t>seen</w:t>
      </w:r>
      <w:r>
        <w:rPr>
          <w:color w:val="19192E"/>
          <w:spacing w:val="-10"/>
          <w:w w:val="105"/>
        </w:rPr>
        <w:t> </w:t>
      </w:r>
      <w:r>
        <w:rPr>
          <w:color w:val="19192E"/>
          <w:spacing w:val="-2"/>
          <w:w w:val="105"/>
        </w:rPr>
        <w:t>below.</w:t>
      </w:r>
    </w:p>
    <w:p>
      <w:pPr>
        <w:pStyle w:val="Heading3"/>
        <w:spacing w:before="11"/>
      </w:pPr>
      <w:r>
        <w:rPr>
          <w:color w:val="19192E"/>
          <w:w w:val="105"/>
        </w:rPr>
        <w:t>Two stabilising ideas used in</w:t>
      </w:r>
      <w:r>
        <w:rPr>
          <w:color w:val="19192E"/>
          <w:spacing w:val="1"/>
          <w:w w:val="105"/>
        </w:rPr>
        <w:t> </w:t>
      </w:r>
      <w:r>
        <w:rPr>
          <w:color w:val="19192E"/>
          <w:w w:val="105"/>
        </w:rPr>
        <w:t>both </w:t>
      </w:r>
      <w:r>
        <w:rPr>
          <w:color w:val="19192E"/>
          <w:spacing w:val="-2"/>
          <w:w w:val="105"/>
        </w:rPr>
        <w:t>tools</w:t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29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0" w:after="0"/>
        <w:ind w:left="340" w:right="2046" w:hanging="210"/>
        <w:jc w:val="left"/>
        <w:rPr>
          <w:sz w:val="21"/>
        </w:rPr>
      </w:pPr>
      <w:r>
        <w:rPr>
          <w:color w:val="19192E"/>
          <w:w w:val="105"/>
          <w:sz w:val="21"/>
        </w:rPr>
        <w:t>Singularity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rejection: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where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amplitude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rho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=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|R|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-&gt;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0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the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phase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is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undefined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and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w w:val="105"/>
          <w:sz w:val="21"/>
        </w:rPr>
        <w:t>its gradient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diverges;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such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pixels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are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masked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(Fleet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&amp;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Jepson,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Stability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of</w:t>
      </w:r>
      <w:r>
        <w:rPr>
          <w:color w:val="19192E"/>
          <w:spacing w:val="-9"/>
          <w:w w:val="105"/>
          <w:sz w:val="21"/>
        </w:rPr>
        <w:t> </w:t>
      </w:r>
      <w:r>
        <w:rPr>
          <w:color w:val="19192E"/>
          <w:w w:val="105"/>
          <w:sz w:val="21"/>
        </w:rPr>
        <w:t>Phase).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67" w:after="0"/>
        <w:ind w:left="340" w:right="1442" w:hanging="210"/>
        <w:jc w:val="left"/>
        <w:rPr>
          <w:sz w:val="21"/>
        </w:rPr>
      </w:pPr>
      <w:r>
        <w:rPr>
          <w:color w:val="19192E"/>
          <w:w w:val="105"/>
          <w:sz w:val="21"/>
        </w:rPr>
        <w:t>Aperture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problem: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per-orientation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component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displacements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are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fused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into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a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full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2D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(U,V) vector by weighted least squares over all orientations.</w:t>
      </w:r>
    </w:p>
    <w:p>
      <w:pPr>
        <w:pStyle w:val="Heading3"/>
        <w:spacing w:line="309" w:lineRule="exact"/>
        <w:jc w:val="both"/>
      </w:pPr>
      <w:r>
        <w:rPr>
          <w:color w:val="19192E"/>
          <w:w w:val="105"/>
        </w:rPr>
        <w:t>Resolution</w:t>
      </w:r>
      <w:r>
        <w:rPr>
          <w:color w:val="19192E"/>
          <w:spacing w:val="16"/>
          <w:w w:val="105"/>
        </w:rPr>
        <w:t> </w:t>
      </w:r>
      <w:r>
        <w:rPr>
          <w:color w:val="19192E"/>
          <w:w w:val="105"/>
        </w:rPr>
        <w:t>(multi-</w:t>
      </w:r>
      <w:r>
        <w:rPr>
          <w:color w:val="19192E"/>
          <w:spacing w:val="-2"/>
          <w:w w:val="105"/>
        </w:rPr>
        <w:t>scale)</w:t>
      </w:r>
    </w:p>
    <w:p>
      <w:pPr>
        <w:pStyle w:val="BodyText"/>
        <w:spacing w:before="166"/>
        <w:rPr>
          <w:b/>
          <w:sz w:val="26"/>
        </w:rPr>
      </w:pPr>
    </w:p>
    <w:p>
      <w:pPr>
        <w:pStyle w:val="BodyText"/>
        <w:spacing w:line="316" w:lineRule="auto" w:before="1"/>
        <w:ind w:left="102" w:right="1121"/>
        <w:jc w:val="both"/>
      </w:pPr>
      <w:r>
        <w:rPr>
          <w:color w:val="19192E"/>
          <w:w w:val="105"/>
        </w:rPr>
        <w:t>A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Gaussian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pyramid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decomposes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a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large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motion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into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small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per-level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sub-motions: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at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level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L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the motion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downsampled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by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2^L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until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it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fits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under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lambda/2.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estimate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upsampled,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used</w:t>
      </w:r>
      <w:r>
        <w:rPr>
          <w:color w:val="19192E"/>
          <w:spacing w:val="-7"/>
          <w:w w:val="105"/>
        </w:rPr>
        <w:t> </w:t>
      </w:r>
      <w:r>
        <w:rPr>
          <w:color w:val="19192E"/>
          <w:w w:val="105"/>
        </w:rPr>
        <w:t>to rewarp the next finer level, and only the small residual is measured there (no unwrapping).</w:t>
      </w:r>
    </w:p>
    <w:p>
      <w:pPr>
        <w:pStyle w:val="BodyText"/>
        <w:spacing w:before="3"/>
        <w:ind w:left="102"/>
        <w:jc w:val="both"/>
      </w:pPr>
      <w:r>
        <w:rPr>
          <w:color w:val="19192E"/>
          <w:spacing w:val="-2"/>
          <w:w w:val="105"/>
        </w:rPr>
        <w:t>Summing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across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levels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reconstructs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the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full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field.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559" w:footer="0" w:top="0" w:bottom="280" w:left="850" w:right="708"/>
        </w:sectPr>
      </w:pPr>
    </w:p>
    <w:p>
      <w:pPr>
        <w:pStyle w:val="BodyText"/>
        <w:spacing w:before="238"/>
        <w:rPr>
          <w:sz w:val="34"/>
        </w:rPr>
      </w:pPr>
    </w:p>
    <w:p>
      <w:pPr>
        <w:pStyle w:val="Heading2"/>
      </w:pPr>
      <w:r>
        <w:rPr>
          <w:color w:val="19192E"/>
        </w:rPr>
        <w:t>Single-scale</w:t>
      </w:r>
      <w:r>
        <w:rPr>
          <w:color w:val="19192E"/>
          <w:spacing w:val="71"/>
        </w:rPr>
        <w:t> </w:t>
      </w:r>
      <w:r>
        <w:rPr>
          <w:color w:val="19192E"/>
        </w:rPr>
        <w:t>Fleet</w:t>
      </w:r>
      <w:r>
        <w:rPr>
          <w:color w:val="19192E"/>
          <w:spacing w:val="18"/>
          <w:position w:val="7"/>
        </w:rPr>
        <w:drawing>
          <wp:inline distT="0" distB="0" distL="0" distR="0">
            <wp:extent cx="84632" cy="2720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2" cy="2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2E"/>
          <w:spacing w:val="18"/>
          <w:position w:val="7"/>
        </w:rPr>
      </w:r>
      <w:r>
        <w:rPr>
          <w:color w:val="19192E"/>
        </w:rPr>
        <w:t>Jepson</w:t>
      </w:r>
      <w:r>
        <w:rPr>
          <w:color w:val="19192E"/>
          <w:spacing w:val="71"/>
        </w:rPr>
        <w:t> </w:t>
      </w:r>
      <w:r>
        <w:rPr>
          <w:color w:val="19192E"/>
        </w:rPr>
        <w:t>phase</w:t>
      </w:r>
      <w:r>
        <w:rPr>
          <w:color w:val="19192E"/>
          <w:spacing w:val="71"/>
        </w:rPr>
        <w:t> </w:t>
      </w:r>
      <w:r>
        <w:rPr>
          <w:color w:val="19192E"/>
          <w:spacing w:val="-4"/>
        </w:rPr>
        <w:t>flow</w:t>
      </w:r>
    </w:p>
    <w:p>
      <w:pPr>
        <w:pStyle w:val="BodyText"/>
        <w:spacing w:line="300" w:lineRule="auto" w:before="121"/>
        <w:ind w:left="102"/>
      </w:pPr>
      <w:r>
        <w:rPr>
          <w:color w:val="19192E"/>
          <w:w w:val="105"/>
        </w:rPr>
        <w:t>One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octave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band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per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orientation,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measured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local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frequency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as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denominator,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amplitude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+</w:t>
      </w:r>
      <w:r>
        <w:rPr>
          <w:color w:val="19192E"/>
          <w:spacing w:val="-14"/>
          <w:w w:val="105"/>
        </w:rPr>
        <w:t> </w:t>
      </w:r>
      <w:r>
        <w:rPr>
          <w:color w:val="19192E"/>
          <w:w w:val="105"/>
        </w:rPr>
        <w:t>frequency-consistency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masking,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least-squares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fusion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over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orientations,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coarse-to-fine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only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within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one</w:t>
      </w:r>
      <w:r>
        <w:rPr>
          <w:color w:val="19192E"/>
          <w:spacing w:val="-8"/>
          <w:w w:val="105"/>
        </w:rPr>
        <w:t> </w:t>
      </w:r>
      <w:r>
        <w:rPr>
          <w:color w:val="19192E"/>
          <w:w w:val="105"/>
        </w:rPr>
        <w:t>FFT</w:t>
      </w:r>
    </w:p>
    <w:p>
      <w:pPr>
        <w:pStyle w:val="BodyText"/>
        <w:spacing w:line="300" w:lineRule="auto" w:before="2"/>
        <w:ind w:left="102" w:right="374"/>
      </w:pPr>
      <w:r>
        <w:rPr>
          <w:color w:val="19192E"/>
          <w:spacing w:val="-2"/>
          <w:w w:val="105"/>
        </w:rPr>
        <w:t>(no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image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pyramid).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Confidence-weighted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smoothing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propagates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edge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measurements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into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flat</w:t>
      </w:r>
      <w:r>
        <w:rPr>
          <w:color w:val="19192E"/>
          <w:spacing w:val="-4"/>
          <w:w w:val="105"/>
        </w:rPr>
        <w:t> </w:t>
      </w:r>
      <w:r>
        <w:rPr>
          <w:color w:val="19192E"/>
          <w:spacing w:val="-2"/>
          <w:w w:val="105"/>
        </w:rPr>
        <w:t>regions </w:t>
      </w:r>
      <w:r>
        <w:rPr>
          <w:color w:val="19192E"/>
          <w:w w:val="105"/>
        </w:rPr>
        <w:t>for display.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769483</wp:posOffset>
            </wp:positionH>
            <wp:positionV relativeFrom="paragraph">
              <wp:posOffset>162044</wp:posOffset>
            </wp:positionV>
            <wp:extent cx="6199395" cy="3721608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395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before="119"/>
        <w:rPr>
          <w:sz w:val="19"/>
        </w:rPr>
      </w:pPr>
    </w:p>
    <w:p>
      <w:pPr>
        <w:spacing w:before="0"/>
        <w:ind w:left="102" w:right="0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Fig. A1</w:t>
      </w:r>
      <w:r>
        <w:rPr>
          <w:i/>
          <w:color w:val="545454"/>
          <w:spacing w:val="52"/>
          <w:sz w:val="18"/>
        </w:rPr>
        <w:t> </w:t>
      </w:r>
      <w:r>
        <w:rPr>
          <w:i/>
          <w:color w:val="545454"/>
          <w:sz w:val="18"/>
        </w:rPr>
        <w:t>A,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B (checkerboards);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UV magnitude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+ vector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field; UV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centre slices;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measured local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frequency; phase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pacing w:val="-2"/>
          <w:sz w:val="18"/>
        </w:rPr>
        <w:t>confidence.</w:t>
      </w:r>
    </w:p>
    <w:p>
      <w:pPr>
        <w:pStyle w:val="BodyText"/>
        <w:spacing w:before="43"/>
        <w:rPr>
          <w:i/>
          <w:sz w:val="16"/>
        </w:rPr>
      </w:pPr>
    </w:p>
    <w:p>
      <w:pPr>
        <w:pStyle w:val="Heading4"/>
      </w:pPr>
      <w:r>
        <w:rPr>
          <w:color w:val="19192E"/>
          <w:spacing w:val="-2"/>
          <w:w w:val="105"/>
        </w:rPr>
        <w:t>Observations</w:t>
      </w:r>
    </w:p>
    <w:p>
      <w:pPr>
        <w:pStyle w:val="BodyText"/>
        <w:spacing w:before="151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0" w:after="0"/>
        <w:ind w:left="340" w:right="1163" w:hanging="210"/>
        <w:jc w:val="left"/>
        <w:rPr>
          <w:sz w:val="21"/>
        </w:rPr>
      </w:pPr>
      <w:r>
        <w:rPr>
          <w:color w:val="19192E"/>
          <w:sz w:val="21"/>
        </w:rPr>
        <w:t>Local-frequency map is clean (~1.0) and the confidence map correctly lights up the edges</w:t>
      </w:r>
      <w:r>
        <w:rPr>
          <w:color w:val="19192E"/>
          <w:sz w:val="21"/>
        </w:rPr>
        <w:t> </w:t>
      </w:r>
      <w:r>
        <w:rPr>
          <w:color w:val="19192E"/>
          <w:spacing w:val="10"/>
          <w:position w:val="5"/>
          <w:sz w:val="21"/>
        </w:rPr>
        <w:drawing>
          <wp:inline distT="0" distB="0" distL="0" distR="0">
            <wp:extent cx="108826" cy="844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26" cy="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2E"/>
          <w:spacing w:val="10"/>
          <w:position w:val="5"/>
          <w:sz w:val="21"/>
        </w:rPr>
      </w:r>
      <w:r>
        <w:rPr>
          <w:rFonts w:ascii="Times New Roman" w:hAnsi="Times New Roman"/>
          <w:color w:val="19192E"/>
          <w:spacing w:val="80"/>
          <w:position w:val="5"/>
          <w:sz w:val="21"/>
        </w:rPr>
        <w:t> </w:t>
      </w:r>
      <w:r>
        <w:rPr>
          <w:color w:val="19192E"/>
          <w:sz w:val="21"/>
        </w:rPr>
        <w:t>the Fleet-Jepson core works.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67" w:after="0"/>
        <w:ind w:left="340" w:right="0" w:hanging="209"/>
        <w:jc w:val="left"/>
        <w:rPr>
          <w:sz w:val="21"/>
        </w:rPr>
      </w:pPr>
      <w:r>
        <w:rPr>
          <w:color w:val="19192E"/>
          <w:sz w:val="21"/>
        </w:rPr>
        <w:t>Auto-selected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octaves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2-4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(checkerboard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fundamental);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higher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bands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carry</w:t>
      </w:r>
      <w:r>
        <w:rPr>
          <w:color w:val="19192E"/>
          <w:spacing w:val="21"/>
          <w:sz w:val="21"/>
        </w:rPr>
        <w:t> </w:t>
      </w:r>
      <w:r>
        <w:rPr>
          <w:color w:val="19192E"/>
          <w:sz w:val="21"/>
        </w:rPr>
        <w:t>no</w:t>
      </w:r>
      <w:r>
        <w:rPr>
          <w:color w:val="19192E"/>
          <w:spacing w:val="21"/>
          <w:sz w:val="21"/>
        </w:rPr>
        <w:t> </w:t>
      </w:r>
      <w:r>
        <w:rPr>
          <w:color w:val="19192E"/>
          <w:spacing w:val="-2"/>
          <w:sz w:val="21"/>
        </w:rPr>
        <w:t>energy.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120" w:after="0"/>
        <w:ind w:left="340" w:right="0" w:hanging="209"/>
        <w:jc w:val="left"/>
        <w:rPr>
          <w:sz w:val="21"/>
        </w:rPr>
      </w:pPr>
      <w:r>
        <w:rPr>
          <w:color w:val="19192E"/>
          <w:w w:val="105"/>
          <w:sz w:val="21"/>
        </w:rPr>
        <w:t>Displacement</w:t>
      </w:r>
      <w:r>
        <w:rPr>
          <w:color w:val="19192E"/>
          <w:spacing w:val="-1"/>
          <w:w w:val="105"/>
          <w:sz w:val="21"/>
        </w:rPr>
        <w:t> </w:t>
      </w:r>
      <w:r>
        <w:rPr>
          <w:color w:val="19192E"/>
          <w:w w:val="105"/>
          <w:sz w:val="21"/>
        </w:rPr>
        <w:t>max ~21 px, mean</w:t>
      </w:r>
      <w:r>
        <w:rPr>
          <w:color w:val="19192E"/>
          <w:spacing w:val="-1"/>
          <w:w w:val="105"/>
          <w:sz w:val="21"/>
        </w:rPr>
        <w:t> </w:t>
      </w:r>
      <w:r>
        <w:rPr>
          <w:color w:val="19192E"/>
          <w:w w:val="105"/>
          <w:sz w:val="21"/>
        </w:rPr>
        <w:t>~11 px; estimated divergence</w:t>
      </w:r>
      <w:r>
        <w:rPr>
          <w:color w:val="19192E"/>
          <w:spacing w:val="-1"/>
          <w:w w:val="105"/>
          <w:sz w:val="21"/>
        </w:rPr>
        <w:t> </w:t>
      </w:r>
      <w:r>
        <w:rPr>
          <w:color w:val="19192E"/>
          <w:w w:val="105"/>
          <w:sz w:val="21"/>
        </w:rPr>
        <w:t>-&gt; s ~ </w:t>
      </w:r>
      <w:r>
        <w:rPr>
          <w:color w:val="19192E"/>
          <w:spacing w:val="-2"/>
          <w:w w:val="105"/>
          <w:sz w:val="21"/>
        </w:rPr>
        <w:t>1.16.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121" w:after="0"/>
        <w:ind w:left="340" w:right="1321" w:hanging="210"/>
        <w:jc w:val="left"/>
        <w:rPr>
          <w:sz w:val="21"/>
        </w:rPr>
      </w:pPr>
      <w:r>
        <w:rPr>
          <w:color w:val="19192E"/>
          <w:w w:val="105"/>
          <w:sz w:val="21"/>
        </w:rPr>
        <w:t>UV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slices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are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chaotic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away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from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the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centre: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the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peripheral</w:t>
      </w:r>
      <w:r>
        <w:rPr>
          <w:color w:val="19192E"/>
          <w:spacing w:val="-16"/>
          <w:w w:val="105"/>
          <w:sz w:val="21"/>
        </w:rPr>
        <w:t> </w:t>
      </w:r>
      <w:r>
        <w:rPr>
          <w:color w:val="19192E"/>
          <w:w w:val="105"/>
          <w:sz w:val="21"/>
        </w:rPr>
        <w:t>displacement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exceeds</w:t>
      </w:r>
      <w:r>
        <w:rPr>
          <w:color w:val="19192E"/>
          <w:spacing w:val="-15"/>
          <w:w w:val="105"/>
          <w:sz w:val="21"/>
        </w:rPr>
        <w:t> </w:t>
      </w:r>
      <w:r>
        <w:rPr>
          <w:color w:val="19192E"/>
          <w:w w:val="105"/>
          <w:sz w:val="21"/>
        </w:rPr>
        <w:t>lambda/2 and aliases. This is the documented failure mode, not an implementation bug.</w:t>
      </w:r>
    </w:p>
    <w:p>
      <w:pPr>
        <w:pStyle w:val="ListParagraph"/>
        <w:spacing w:after="0" w:line="292" w:lineRule="auto"/>
        <w:jc w:val="left"/>
        <w:rPr>
          <w:sz w:val="21"/>
        </w:rPr>
        <w:sectPr>
          <w:headerReference w:type="default" r:id="rId15"/>
          <w:pgSz w:w="11910" w:h="16840"/>
          <w:pgMar w:header="582" w:footer="0" w:top="940" w:bottom="280" w:left="850" w:right="708"/>
        </w:sectPr>
      </w:pPr>
    </w:p>
    <w:p>
      <w:pPr>
        <w:pStyle w:val="BodyText"/>
        <w:spacing w:before="238"/>
        <w:rPr>
          <w:sz w:val="34"/>
        </w:rPr>
      </w:pPr>
    </w:p>
    <w:p>
      <w:pPr>
        <w:pStyle w:val="Heading2"/>
      </w:pPr>
      <w:r>
        <w:rPr>
          <w:color w:val="19192E"/>
          <w:w w:val="105"/>
        </w:rPr>
        <w:t>Multi-scale</w:t>
      </w:r>
      <w:r>
        <w:rPr>
          <w:color w:val="19192E"/>
          <w:spacing w:val="29"/>
          <w:w w:val="105"/>
        </w:rPr>
        <w:t> </w:t>
      </w:r>
      <w:r>
        <w:rPr>
          <w:color w:val="19192E"/>
          <w:w w:val="105"/>
        </w:rPr>
        <w:t>coarse-to-fine</w:t>
      </w:r>
      <w:r>
        <w:rPr>
          <w:color w:val="19192E"/>
          <w:spacing w:val="29"/>
          <w:w w:val="105"/>
        </w:rPr>
        <w:t> </w:t>
      </w:r>
      <w:r>
        <w:rPr>
          <w:color w:val="19192E"/>
          <w:w w:val="105"/>
        </w:rPr>
        <w:t>(M-</w:t>
      </w:r>
      <w:r>
        <w:rPr>
          <w:color w:val="19192E"/>
          <w:spacing w:val="-4"/>
          <w:w w:val="105"/>
        </w:rPr>
        <w:t>PME)</w:t>
      </w:r>
    </w:p>
    <w:p>
      <w:pPr>
        <w:pStyle w:val="BodyText"/>
        <w:spacing w:line="300" w:lineRule="auto" w:before="121"/>
        <w:ind w:left="102" w:right="374"/>
      </w:pPr>
      <w:r>
        <w:rPr>
          <w:color w:val="19192E"/>
          <w:w w:val="105"/>
        </w:rPr>
        <w:t>Gaussian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pyramid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(5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levels),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coarse-to-fine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with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rewarping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and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per-level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residual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refinement,</w:t>
      </w:r>
      <w:r>
        <w:rPr>
          <w:color w:val="19192E"/>
          <w:spacing w:val="-2"/>
          <w:w w:val="105"/>
        </w:rPr>
        <w:t> </w:t>
      </w:r>
      <w:r>
        <w:rPr>
          <w:color w:val="19192E"/>
          <w:w w:val="105"/>
        </w:rPr>
        <w:t>no </w:t>
      </w:r>
      <w:r>
        <w:rPr>
          <w:color w:val="19192E"/>
          <w:spacing w:val="-2"/>
          <w:w w:val="105"/>
        </w:rPr>
        <w:t>phase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unwrapping,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motion-field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fusion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across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scales.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Reimplementation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of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the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method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described</w:t>
      </w:r>
      <w:r>
        <w:rPr>
          <w:color w:val="19192E"/>
          <w:spacing w:val="-6"/>
          <w:w w:val="105"/>
        </w:rPr>
        <w:t> </w:t>
      </w:r>
      <w:r>
        <w:rPr>
          <w:color w:val="19192E"/>
          <w:spacing w:val="-2"/>
          <w:w w:val="105"/>
        </w:rPr>
        <w:t>in </w:t>
      </w:r>
      <w:r>
        <w:rPr>
          <w:color w:val="19192E"/>
          <w:w w:val="105"/>
        </w:rPr>
        <w:t>'Large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amplitude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motion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estimation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via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multi-scale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phase-based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video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processing'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(Mech.</w:t>
      </w:r>
      <w:r>
        <w:rPr>
          <w:color w:val="19192E"/>
          <w:spacing w:val="-3"/>
          <w:w w:val="105"/>
        </w:rPr>
        <w:t> </w:t>
      </w:r>
      <w:r>
        <w:rPr>
          <w:color w:val="19192E"/>
          <w:w w:val="105"/>
        </w:rPr>
        <w:t>Syst.</w:t>
      </w:r>
    </w:p>
    <w:p>
      <w:pPr>
        <w:pStyle w:val="BodyText"/>
        <w:spacing w:before="4"/>
        <w:ind w:left="102"/>
      </w:pPr>
      <w:r>
        <w:rPr>
          <w:color w:val="19192E"/>
        </w:rPr>
        <w:t>Signal</w:t>
      </w:r>
      <w:r>
        <w:rPr>
          <w:color w:val="19192E"/>
          <w:spacing w:val="11"/>
        </w:rPr>
        <w:t> </w:t>
      </w:r>
      <w:r>
        <w:rPr>
          <w:color w:val="19192E"/>
        </w:rPr>
        <w:t>Process.</w:t>
      </w:r>
      <w:r>
        <w:rPr>
          <w:color w:val="19192E"/>
          <w:spacing w:val="12"/>
        </w:rPr>
        <w:t> </w:t>
      </w:r>
      <w:r>
        <w:rPr>
          <w:color w:val="19192E"/>
        </w:rPr>
        <w:t>2026),</w:t>
      </w:r>
      <w:r>
        <w:rPr>
          <w:color w:val="19192E"/>
          <w:spacing w:val="12"/>
        </w:rPr>
        <w:t> </w:t>
      </w:r>
      <w:r>
        <w:rPr>
          <w:color w:val="19192E"/>
        </w:rPr>
        <w:t>not</w:t>
      </w:r>
      <w:r>
        <w:rPr>
          <w:color w:val="19192E"/>
          <w:spacing w:val="11"/>
        </w:rPr>
        <w:t> </w:t>
      </w:r>
      <w:r>
        <w:rPr>
          <w:color w:val="19192E"/>
        </w:rPr>
        <w:t>the</w:t>
      </w:r>
      <w:r>
        <w:rPr>
          <w:color w:val="19192E"/>
          <w:spacing w:val="12"/>
        </w:rPr>
        <w:t> </w:t>
      </w:r>
      <w:r>
        <w:rPr>
          <w:color w:val="19192E"/>
        </w:rPr>
        <w:t>original</w:t>
      </w:r>
      <w:r>
        <w:rPr>
          <w:color w:val="19192E"/>
          <w:spacing w:val="12"/>
        </w:rPr>
        <w:t> </w:t>
      </w:r>
      <w:r>
        <w:rPr>
          <w:color w:val="19192E"/>
        </w:rPr>
        <w:t>paywalled</w:t>
      </w:r>
      <w:r>
        <w:rPr>
          <w:color w:val="19192E"/>
          <w:spacing w:val="11"/>
        </w:rPr>
        <w:t> </w:t>
      </w:r>
      <w:r>
        <w:rPr>
          <w:color w:val="19192E"/>
          <w:spacing w:val="-2"/>
        </w:rPr>
        <w:t>code.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769483</wp:posOffset>
            </wp:positionH>
            <wp:positionV relativeFrom="paragraph">
              <wp:posOffset>244742</wp:posOffset>
            </wp:positionV>
            <wp:extent cx="6199395" cy="3675888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395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before="119"/>
        <w:rPr>
          <w:sz w:val="19"/>
        </w:rPr>
      </w:pPr>
    </w:p>
    <w:p>
      <w:pPr>
        <w:spacing w:before="1"/>
        <w:ind w:left="102" w:right="0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Fig.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B1</w:t>
      </w:r>
      <w:r>
        <w:rPr>
          <w:i/>
          <w:color w:val="545454"/>
          <w:spacing w:val="54"/>
          <w:sz w:val="18"/>
        </w:rPr>
        <w:t> </w:t>
      </w:r>
      <w:r>
        <w:rPr>
          <w:i/>
          <w:color w:val="545454"/>
          <w:sz w:val="18"/>
        </w:rPr>
        <w:t>A,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B;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UV</w:t>
      </w:r>
      <w:r>
        <w:rPr>
          <w:i/>
          <w:color w:val="545454"/>
          <w:spacing w:val="2"/>
          <w:sz w:val="18"/>
        </w:rPr>
        <w:t> </w:t>
      </w:r>
      <w:r>
        <w:rPr>
          <w:i/>
          <w:color w:val="545454"/>
          <w:sz w:val="18"/>
        </w:rPr>
        <w:t>magnitude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+</w:t>
      </w:r>
      <w:r>
        <w:rPr>
          <w:i/>
          <w:color w:val="545454"/>
          <w:spacing w:val="2"/>
          <w:sz w:val="18"/>
        </w:rPr>
        <w:t> </w:t>
      </w:r>
      <w:r>
        <w:rPr>
          <w:i/>
          <w:color w:val="545454"/>
          <w:sz w:val="18"/>
        </w:rPr>
        <w:t>vector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field;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UV</w:t>
      </w:r>
      <w:r>
        <w:rPr>
          <w:i/>
          <w:color w:val="545454"/>
          <w:spacing w:val="2"/>
          <w:sz w:val="18"/>
        </w:rPr>
        <w:t> </w:t>
      </w:r>
      <w:r>
        <w:rPr>
          <w:i/>
          <w:color w:val="545454"/>
          <w:sz w:val="18"/>
        </w:rPr>
        <w:t>centre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slices;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divergence</w:t>
      </w:r>
      <w:r>
        <w:rPr>
          <w:i/>
          <w:color w:val="545454"/>
          <w:spacing w:val="2"/>
          <w:sz w:val="18"/>
        </w:rPr>
        <w:t> </w:t>
      </w:r>
      <w:r>
        <w:rPr>
          <w:i/>
          <w:color w:val="545454"/>
          <w:sz w:val="18"/>
        </w:rPr>
        <w:t>(local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scale);</w:t>
      </w:r>
      <w:r>
        <w:rPr>
          <w:i/>
          <w:color w:val="545454"/>
          <w:spacing w:val="1"/>
          <w:sz w:val="18"/>
        </w:rPr>
        <w:t> </w:t>
      </w:r>
      <w:r>
        <w:rPr>
          <w:i/>
          <w:color w:val="545454"/>
          <w:sz w:val="18"/>
        </w:rPr>
        <w:t>warp(A)-&gt;B</w:t>
      </w:r>
      <w:r>
        <w:rPr>
          <w:i/>
          <w:color w:val="545454"/>
          <w:spacing w:val="2"/>
          <w:sz w:val="18"/>
        </w:rPr>
        <w:t> </w:t>
      </w:r>
      <w:r>
        <w:rPr>
          <w:i/>
          <w:color w:val="545454"/>
          <w:spacing w:val="-2"/>
          <w:sz w:val="18"/>
        </w:rPr>
        <w:t>residual.</w:t>
      </w:r>
    </w:p>
    <w:p>
      <w:pPr>
        <w:pStyle w:val="BodyText"/>
        <w:spacing w:before="67"/>
        <w:rPr>
          <w:i/>
          <w:sz w:val="20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4465"/>
        <w:gridCol w:w="2102"/>
      </w:tblGrid>
      <w:tr>
        <w:trPr>
          <w:trHeight w:val="340" w:hRule="atLeast"/>
        </w:trPr>
        <w:tc>
          <w:tcPr>
            <w:tcW w:w="3437" w:type="dxa"/>
            <w:tcBorders>
              <w:bottom w:val="single" w:sz="8" w:space="0" w:color="0E3D6D"/>
            </w:tcBorders>
          </w:tcPr>
          <w:p>
            <w:pPr>
              <w:pStyle w:val="TableParagraph"/>
              <w:spacing w:line="240" w:lineRule="exact"/>
              <w:ind w:left="10"/>
              <w:rPr>
                <w:b/>
                <w:sz w:val="27"/>
              </w:rPr>
            </w:pPr>
            <w:r>
              <w:rPr>
                <w:b/>
                <w:color w:val="19192E"/>
                <w:spacing w:val="-2"/>
                <w:sz w:val="27"/>
              </w:rPr>
              <w:t>Results</w:t>
            </w:r>
          </w:p>
        </w:tc>
        <w:tc>
          <w:tcPr>
            <w:tcW w:w="6567" w:type="dxa"/>
            <w:gridSpan w:val="2"/>
            <w:tcBorders>
              <w:bottom w:val="single" w:sz="8" w:space="0" w:color="0E3D6D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16" w:hRule="atLeast"/>
        </w:trPr>
        <w:tc>
          <w:tcPr>
            <w:tcW w:w="3437" w:type="dxa"/>
            <w:tcBorders>
              <w:top w:val="single" w:sz="8" w:space="0" w:color="0E3D6D"/>
              <w:left w:val="single" w:sz="8" w:space="0" w:color="0E3D6D"/>
              <w:bottom w:val="single" w:sz="8" w:space="0" w:color="0E3D6D"/>
            </w:tcBorders>
            <w:shd w:val="clear" w:color="auto" w:fill="0E3D6D"/>
          </w:tcPr>
          <w:p>
            <w:pPr>
              <w:pStyle w:val="TableParagraph"/>
              <w:spacing w:before="20"/>
              <w:ind w:left="5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10"/>
                <w:sz w:val="20"/>
              </w:rPr>
              <w:t>Quantity</w:t>
            </w:r>
          </w:p>
        </w:tc>
        <w:tc>
          <w:tcPr>
            <w:tcW w:w="4465" w:type="dxa"/>
            <w:tcBorders>
              <w:top w:val="single" w:sz="8" w:space="0" w:color="0E3D6D"/>
              <w:bottom w:val="single" w:sz="8" w:space="0" w:color="0E3D6D"/>
            </w:tcBorders>
            <w:shd w:val="clear" w:color="auto" w:fill="0E3D6D"/>
          </w:tcPr>
          <w:p>
            <w:pPr>
              <w:pStyle w:val="TableParagraph"/>
              <w:spacing w:before="20"/>
              <w:ind w:left="103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105"/>
                <w:sz w:val="20"/>
              </w:rPr>
              <w:t>Value</w:t>
            </w:r>
          </w:p>
        </w:tc>
        <w:tc>
          <w:tcPr>
            <w:tcW w:w="2102" w:type="dxa"/>
            <w:tcBorders>
              <w:top w:val="single" w:sz="8" w:space="0" w:color="0E3D6D"/>
              <w:bottom w:val="single" w:sz="8" w:space="0" w:color="0E3D6D"/>
              <w:right w:val="single" w:sz="8" w:space="0" w:color="0E3D6D"/>
            </w:tcBorders>
            <w:shd w:val="clear" w:color="auto" w:fill="0E3D6D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3437" w:type="dxa"/>
            <w:tcBorders>
              <w:top w:val="single" w:sz="8" w:space="0" w:color="0E3D6D"/>
            </w:tcBorders>
          </w:tcPr>
          <w:p>
            <w:pPr>
              <w:pStyle w:val="TableParagraph"/>
              <w:spacing w:before="54"/>
              <w:rPr>
                <w:sz w:val="20"/>
              </w:rPr>
            </w:pPr>
            <w:r>
              <w:rPr>
                <w:color w:val="19192E"/>
                <w:spacing w:val="-4"/>
                <w:sz w:val="20"/>
              </w:rPr>
              <w:t>Warp</w:t>
            </w:r>
            <w:r>
              <w:rPr>
                <w:color w:val="19192E"/>
                <w:spacing w:val="-3"/>
                <w:sz w:val="20"/>
              </w:rPr>
              <w:t> </w:t>
            </w:r>
            <w:r>
              <w:rPr>
                <w:color w:val="19192E"/>
                <w:spacing w:val="-4"/>
                <w:sz w:val="20"/>
              </w:rPr>
              <w:t>residual</w:t>
            </w:r>
            <w:r>
              <w:rPr>
                <w:color w:val="19192E"/>
                <w:spacing w:val="-2"/>
                <w:sz w:val="20"/>
              </w:rPr>
              <w:t> </w:t>
            </w:r>
            <w:r>
              <w:rPr>
                <w:color w:val="19192E"/>
                <w:spacing w:val="-4"/>
                <w:sz w:val="20"/>
              </w:rPr>
              <w:t>RMSE</w:t>
            </w:r>
            <w:r>
              <w:rPr>
                <w:color w:val="19192E"/>
                <w:spacing w:val="-3"/>
                <w:sz w:val="20"/>
              </w:rPr>
              <w:t> </w:t>
            </w:r>
            <w:r>
              <w:rPr>
                <w:color w:val="19192E"/>
                <w:spacing w:val="-4"/>
                <w:sz w:val="20"/>
              </w:rPr>
              <w:t>(fg)</w:t>
            </w:r>
          </w:p>
        </w:tc>
        <w:tc>
          <w:tcPr>
            <w:tcW w:w="4465" w:type="dxa"/>
            <w:tcBorders>
              <w:top w:val="single" w:sz="8" w:space="0" w:color="0E3D6D"/>
            </w:tcBorders>
          </w:tcPr>
          <w:p>
            <w:pPr>
              <w:pStyle w:val="TableParagraph"/>
              <w:spacing w:before="54"/>
              <w:ind w:left="1038"/>
              <w:rPr>
                <w:sz w:val="20"/>
              </w:rPr>
            </w:pPr>
            <w:r>
              <w:rPr>
                <w:color w:val="19192E"/>
                <w:w w:val="105"/>
                <w:sz w:val="20"/>
              </w:rPr>
              <w:t>121.4</w:t>
            </w:r>
            <w:r>
              <w:rPr>
                <w:color w:val="19192E"/>
                <w:spacing w:val="-4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-&gt;</w:t>
            </w:r>
            <w:r>
              <w:rPr>
                <w:color w:val="19192E"/>
                <w:spacing w:val="-3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4.11</w:t>
            </w:r>
            <w:r>
              <w:rPr>
                <w:color w:val="19192E"/>
                <w:spacing w:val="-4"/>
                <w:w w:val="105"/>
                <w:sz w:val="20"/>
              </w:rPr>
              <w:t> </w:t>
            </w:r>
            <w:r>
              <w:rPr>
                <w:color w:val="19192E"/>
                <w:spacing w:val="-5"/>
                <w:w w:val="105"/>
                <w:sz w:val="20"/>
              </w:rPr>
              <w:t>px</w:t>
            </w:r>
          </w:p>
        </w:tc>
        <w:tc>
          <w:tcPr>
            <w:tcW w:w="2102" w:type="dxa"/>
            <w:tcBorders>
              <w:top w:val="single" w:sz="8" w:space="0" w:color="0E3D6D"/>
            </w:tcBorders>
          </w:tcPr>
          <w:p>
            <w:pPr>
              <w:pStyle w:val="TableParagraph"/>
              <w:spacing w:before="54"/>
              <w:ind w:left="89" w:right="99"/>
              <w:jc w:val="center"/>
              <w:rPr>
                <w:sz w:val="20"/>
              </w:rPr>
            </w:pPr>
            <w:r>
              <w:rPr>
                <w:color w:val="19192E"/>
                <w:sz w:val="20"/>
              </w:rPr>
              <w:t>(-</w:t>
            </w:r>
            <w:r>
              <w:rPr>
                <w:color w:val="19192E"/>
                <w:spacing w:val="-4"/>
                <w:sz w:val="20"/>
              </w:rPr>
              <w:t>97%)</w:t>
            </w:r>
          </w:p>
        </w:tc>
      </w:tr>
      <w:tr>
        <w:trPr>
          <w:trHeight w:val="646" w:hRule="atLeast"/>
        </w:trPr>
        <w:tc>
          <w:tcPr>
            <w:tcW w:w="3437" w:type="dxa"/>
          </w:tcPr>
          <w:p>
            <w:pPr>
              <w:pStyle w:val="TableParagraph"/>
              <w:spacing w:before="44"/>
              <w:rPr>
                <w:sz w:val="20"/>
              </w:rPr>
            </w:pPr>
            <w:r>
              <w:rPr>
                <w:color w:val="19192E"/>
                <w:w w:val="105"/>
                <w:sz w:val="20"/>
              </w:rPr>
              <w:t>mean|flow|</w:t>
            </w:r>
            <w:r>
              <w:rPr>
                <w:color w:val="19192E"/>
                <w:spacing w:val="-10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per</w:t>
            </w:r>
            <w:r>
              <w:rPr>
                <w:color w:val="19192E"/>
                <w:spacing w:val="-9"/>
                <w:w w:val="105"/>
                <w:sz w:val="20"/>
              </w:rPr>
              <w:t> </w:t>
            </w:r>
            <w:r>
              <w:rPr>
                <w:color w:val="19192E"/>
                <w:spacing w:val="-2"/>
                <w:w w:val="105"/>
                <w:sz w:val="20"/>
              </w:rPr>
              <w:t>level</w:t>
            </w:r>
          </w:p>
          <w:p>
            <w:pPr>
              <w:pStyle w:val="TableParagraph"/>
              <w:spacing w:line="210" w:lineRule="exact" w:before="142"/>
              <w:rPr>
                <w:sz w:val="20"/>
              </w:rPr>
            </w:pPr>
            <w:r>
              <w:rPr>
                <w:color w:val="19192E"/>
                <w:w w:val="105"/>
                <w:sz w:val="20"/>
              </w:rPr>
              <w:t>max</w:t>
            </w:r>
            <w:r>
              <w:rPr>
                <w:color w:val="19192E"/>
                <w:spacing w:val="-9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/</w:t>
            </w:r>
            <w:r>
              <w:rPr>
                <w:color w:val="19192E"/>
                <w:spacing w:val="-9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mean</w:t>
            </w:r>
            <w:r>
              <w:rPr>
                <w:color w:val="19192E"/>
                <w:spacing w:val="-8"/>
                <w:w w:val="105"/>
                <w:sz w:val="20"/>
              </w:rPr>
              <w:t> </w:t>
            </w:r>
            <w:r>
              <w:rPr>
                <w:color w:val="19192E"/>
                <w:spacing w:val="-2"/>
                <w:w w:val="105"/>
                <w:sz w:val="20"/>
              </w:rPr>
              <w:t>displacement</w:t>
            </w:r>
          </w:p>
        </w:tc>
        <w:tc>
          <w:tcPr>
            <w:tcW w:w="4465" w:type="dxa"/>
          </w:tcPr>
          <w:p>
            <w:pPr>
              <w:pStyle w:val="TableParagraph"/>
              <w:spacing w:before="46"/>
              <w:ind w:left="1038"/>
              <w:rPr>
                <w:sz w:val="20"/>
              </w:rPr>
            </w:pPr>
            <w:r>
              <w:rPr>
                <w:color w:val="19192E"/>
                <w:w w:val="105"/>
                <w:sz w:val="20"/>
              </w:rPr>
              <w:t>0.55</w:t>
            </w:r>
            <w:r>
              <w:rPr>
                <w:color w:val="19192E"/>
                <w:spacing w:val="-7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/</w:t>
            </w:r>
            <w:r>
              <w:rPr>
                <w:color w:val="19192E"/>
                <w:spacing w:val="-7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1.10</w:t>
            </w:r>
            <w:r>
              <w:rPr>
                <w:color w:val="19192E"/>
                <w:spacing w:val="-6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/</w:t>
            </w:r>
            <w:r>
              <w:rPr>
                <w:color w:val="19192E"/>
                <w:spacing w:val="-7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2.19</w:t>
            </w:r>
            <w:r>
              <w:rPr>
                <w:color w:val="19192E"/>
                <w:spacing w:val="-6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/</w:t>
            </w:r>
            <w:r>
              <w:rPr>
                <w:color w:val="19192E"/>
                <w:spacing w:val="-7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4.38</w:t>
            </w:r>
            <w:r>
              <w:rPr>
                <w:color w:val="19192E"/>
                <w:spacing w:val="-6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/</w:t>
            </w:r>
            <w:r>
              <w:rPr>
                <w:color w:val="19192E"/>
                <w:spacing w:val="-7"/>
                <w:w w:val="105"/>
                <w:sz w:val="20"/>
              </w:rPr>
              <w:t> </w:t>
            </w:r>
            <w:r>
              <w:rPr>
                <w:color w:val="19192E"/>
                <w:spacing w:val="-4"/>
                <w:w w:val="105"/>
                <w:sz w:val="20"/>
              </w:rPr>
              <w:t>8.76</w:t>
            </w:r>
          </w:p>
          <w:p>
            <w:pPr>
              <w:pStyle w:val="TableParagraph"/>
              <w:spacing w:line="210" w:lineRule="exact" w:before="140"/>
              <w:ind w:left="1038"/>
              <w:rPr>
                <w:sz w:val="20"/>
              </w:rPr>
            </w:pPr>
            <w:r>
              <w:rPr>
                <w:color w:val="19192E"/>
                <w:w w:val="105"/>
                <w:sz w:val="20"/>
              </w:rPr>
              <w:t>19.6</w:t>
            </w:r>
            <w:r>
              <w:rPr>
                <w:color w:val="19192E"/>
                <w:spacing w:val="-8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/</w:t>
            </w:r>
            <w:r>
              <w:rPr>
                <w:color w:val="19192E"/>
                <w:spacing w:val="-8"/>
                <w:w w:val="105"/>
                <w:sz w:val="20"/>
              </w:rPr>
              <w:t> </w:t>
            </w:r>
            <w:r>
              <w:rPr>
                <w:color w:val="19192E"/>
                <w:w w:val="105"/>
                <w:sz w:val="20"/>
              </w:rPr>
              <w:t>8.8</w:t>
            </w:r>
            <w:r>
              <w:rPr>
                <w:color w:val="19192E"/>
                <w:spacing w:val="-8"/>
                <w:w w:val="105"/>
                <w:sz w:val="20"/>
              </w:rPr>
              <w:t> </w:t>
            </w:r>
            <w:r>
              <w:rPr>
                <w:color w:val="19192E"/>
                <w:spacing w:val="-5"/>
                <w:w w:val="105"/>
                <w:sz w:val="20"/>
              </w:rPr>
              <w:t>px</w:t>
            </w:r>
          </w:p>
        </w:tc>
        <w:tc>
          <w:tcPr>
            <w:tcW w:w="2102" w:type="dxa"/>
          </w:tcPr>
          <w:p>
            <w:pPr>
              <w:pStyle w:val="TableParagraph"/>
              <w:spacing w:before="46"/>
              <w:ind w:left="99" w:right="10"/>
              <w:jc w:val="center"/>
              <w:rPr>
                <w:sz w:val="20"/>
              </w:rPr>
            </w:pPr>
            <w:r>
              <w:rPr>
                <w:color w:val="19192E"/>
                <w:spacing w:val="-2"/>
                <w:sz w:val="20"/>
              </w:rPr>
              <w:t>doubles</w:t>
            </w:r>
          </w:p>
        </w:tc>
      </w:tr>
    </w:tbl>
    <w:p>
      <w:pPr>
        <w:pStyle w:val="BodyText"/>
        <w:rPr>
          <w:i/>
          <w:sz w:val="16"/>
        </w:rPr>
      </w:pPr>
    </w:p>
    <w:p>
      <w:pPr>
        <w:pStyle w:val="BodyText"/>
        <w:spacing w:before="69"/>
        <w:rPr>
          <w:i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09"/>
        <w:jc w:val="left"/>
        <w:rPr>
          <w:sz w:val="21"/>
        </w:rPr>
      </w:pPr>
      <w:r>
        <w:rPr>
          <w:color w:val="19192E"/>
          <w:sz w:val="21"/>
        </w:rPr>
        <w:t>Converges:</w:t>
      </w:r>
      <w:r>
        <w:rPr>
          <w:color w:val="19192E"/>
          <w:spacing w:val="8"/>
          <w:sz w:val="21"/>
        </w:rPr>
        <w:t> </w:t>
      </w:r>
      <w:r>
        <w:rPr>
          <w:color w:val="19192E"/>
          <w:sz w:val="21"/>
        </w:rPr>
        <w:t>warp(A,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flow)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reconstructs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B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to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~4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px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RMSE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(thin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edge</w:t>
      </w:r>
      <w:r>
        <w:rPr>
          <w:color w:val="19192E"/>
          <w:spacing w:val="9"/>
          <w:sz w:val="21"/>
        </w:rPr>
        <w:t> </w:t>
      </w:r>
      <w:r>
        <w:rPr>
          <w:color w:val="19192E"/>
          <w:sz w:val="21"/>
        </w:rPr>
        <w:t>residual</w:t>
      </w:r>
      <w:r>
        <w:rPr>
          <w:color w:val="19192E"/>
          <w:spacing w:val="9"/>
          <w:sz w:val="21"/>
        </w:rPr>
        <w:t> </w:t>
      </w:r>
      <w:r>
        <w:rPr>
          <w:color w:val="19192E"/>
          <w:spacing w:val="-2"/>
          <w:sz w:val="21"/>
        </w:rPr>
        <w:t>only).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121" w:after="0"/>
        <w:ind w:left="340" w:right="0" w:hanging="209"/>
        <w:jc w:val="left"/>
        <w:rPr>
          <w:sz w:val="21"/>
        </w:rPr>
      </w:pPr>
      <w:r>
        <w:rPr>
          <w:color w:val="19192E"/>
          <w:w w:val="105"/>
          <w:sz w:val="21"/>
        </w:rPr>
        <w:t>mean|flow|</w:t>
      </w:r>
      <w:r>
        <w:rPr>
          <w:color w:val="19192E"/>
          <w:spacing w:val="-13"/>
          <w:w w:val="105"/>
          <w:sz w:val="21"/>
        </w:rPr>
        <w:t> </w:t>
      </w:r>
      <w:r>
        <w:rPr>
          <w:color w:val="19192E"/>
          <w:w w:val="105"/>
          <w:sz w:val="21"/>
        </w:rPr>
        <w:t>doubles</w:t>
      </w:r>
      <w:r>
        <w:rPr>
          <w:color w:val="19192E"/>
          <w:spacing w:val="-12"/>
          <w:w w:val="105"/>
          <w:sz w:val="21"/>
        </w:rPr>
        <w:t> </w:t>
      </w:r>
      <w:r>
        <w:rPr>
          <w:color w:val="19192E"/>
          <w:w w:val="105"/>
          <w:sz w:val="21"/>
        </w:rPr>
        <w:t>cleanly</w:t>
      </w:r>
      <w:r>
        <w:rPr>
          <w:color w:val="19192E"/>
          <w:spacing w:val="-12"/>
          <w:w w:val="105"/>
          <w:sz w:val="21"/>
        </w:rPr>
        <w:t> </w:t>
      </w:r>
      <w:r>
        <w:rPr>
          <w:color w:val="19192E"/>
          <w:w w:val="105"/>
          <w:sz w:val="21"/>
        </w:rPr>
        <w:t>per</w:t>
      </w:r>
      <w:r>
        <w:rPr>
          <w:color w:val="19192E"/>
          <w:spacing w:val="-12"/>
          <w:w w:val="105"/>
          <w:sz w:val="21"/>
        </w:rPr>
        <w:t> </w:t>
      </w:r>
      <w:r>
        <w:rPr>
          <w:color w:val="19192E"/>
          <w:w w:val="105"/>
          <w:sz w:val="21"/>
        </w:rPr>
        <w:t>level</w:t>
      </w:r>
      <w:r>
        <w:rPr>
          <w:color w:val="19192E"/>
          <w:spacing w:val="-6"/>
          <w:w w:val="105"/>
          <w:sz w:val="21"/>
        </w:rPr>
        <w:t> </w:t>
      </w:r>
      <w:r>
        <w:rPr>
          <w:color w:val="19192E"/>
          <w:spacing w:val="10"/>
          <w:position w:val="5"/>
          <w:sz w:val="21"/>
        </w:rPr>
        <w:drawing>
          <wp:inline distT="0" distB="0" distL="0" distR="0">
            <wp:extent cx="108826" cy="844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26" cy="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2E"/>
          <w:spacing w:val="10"/>
          <w:position w:val="5"/>
          <w:sz w:val="21"/>
        </w:rPr>
      </w:r>
      <w:r>
        <w:rPr>
          <w:rFonts w:ascii="Times New Roman" w:hAnsi="Times New Roman"/>
          <w:color w:val="19192E"/>
          <w:spacing w:val="-4"/>
          <w:sz w:val="21"/>
        </w:rPr>
        <w:t> </w:t>
      </w:r>
      <w:r>
        <w:rPr>
          <w:color w:val="19192E"/>
          <w:w w:val="105"/>
          <w:sz w:val="21"/>
        </w:rPr>
        <w:t>the</w:t>
      </w:r>
      <w:r>
        <w:rPr>
          <w:color w:val="19192E"/>
          <w:spacing w:val="-13"/>
          <w:w w:val="105"/>
          <w:sz w:val="21"/>
        </w:rPr>
        <w:t> </w:t>
      </w:r>
      <w:r>
        <w:rPr>
          <w:color w:val="19192E"/>
          <w:w w:val="105"/>
          <w:sz w:val="21"/>
        </w:rPr>
        <w:t>expected</w:t>
      </w:r>
      <w:r>
        <w:rPr>
          <w:color w:val="19192E"/>
          <w:spacing w:val="-12"/>
          <w:w w:val="105"/>
          <w:sz w:val="21"/>
        </w:rPr>
        <w:t> </w:t>
      </w:r>
      <w:r>
        <w:rPr>
          <w:color w:val="19192E"/>
          <w:w w:val="105"/>
          <w:sz w:val="21"/>
        </w:rPr>
        <w:t>coarse-to-fine</w:t>
      </w:r>
      <w:r>
        <w:rPr>
          <w:color w:val="19192E"/>
          <w:spacing w:val="-12"/>
          <w:w w:val="105"/>
          <w:sz w:val="21"/>
        </w:rPr>
        <w:t> </w:t>
      </w:r>
      <w:r>
        <w:rPr>
          <w:color w:val="19192E"/>
          <w:spacing w:val="-2"/>
          <w:w w:val="105"/>
          <w:sz w:val="21"/>
        </w:rPr>
        <w:t>signature.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120" w:after="0"/>
        <w:ind w:left="340" w:right="2145" w:hanging="210"/>
        <w:jc w:val="left"/>
        <w:rPr>
          <w:sz w:val="21"/>
        </w:rPr>
      </w:pPr>
      <w:r>
        <w:rPr>
          <w:color w:val="19192E"/>
          <w:w w:val="105"/>
          <w:sz w:val="21"/>
        </w:rPr>
        <w:t>Field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is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strongly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vertical-dominant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(V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slice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+-17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px,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U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slice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+-1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px).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Since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the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warp reconstructs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B,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this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is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real: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relief0_sc1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is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NOT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an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isotropic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scale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of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relief0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w w:val="105"/>
          <w:sz w:val="21"/>
        </w:rPr>
        <w:t>but anisotropic (vertical scale/shift). A single scalar s~0.915 is therefore misleading.</w:t>
      </w:r>
    </w:p>
    <w:p>
      <w:pPr>
        <w:pStyle w:val="ListParagraph"/>
        <w:spacing w:after="0" w:line="292" w:lineRule="auto"/>
        <w:jc w:val="left"/>
        <w:rPr>
          <w:sz w:val="21"/>
        </w:rPr>
        <w:sectPr>
          <w:headerReference w:type="default" r:id="rId18"/>
          <w:pgSz w:w="11910" w:h="16840"/>
          <w:pgMar w:header="582" w:footer="0" w:top="940" w:bottom="280" w:left="850" w:right="708"/>
        </w:sectPr>
      </w:pPr>
    </w:p>
    <w:p>
      <w:pPr>
        <w:pStyle w:val="BodyText"/>
        <w:spacing w:before="6"/>
        <w:rPr>
          <w:sz w:val="14"/>
        </w:rPr>
      </w:pPr>
    </w:p>
    <w:p>
      <w:pPr>
        <w:spacing w:line="20" w:lineRule="exact"/>
        <w:ind w:left="10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52540" cy="38100"/>
                <wp:effectExtent l="19050" t="0" r="1016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352540" cy="38100"/>
                          <a:chExt cx="6352540" cy="381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9050"/>
                            <a:ext cx="635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0">
                                <a:moveTo>
                                  <a:pt x="0" y="0"/>
                                </a:moveTo>
                                <a:lnTo>
                                  <a:pt x="6352153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E3D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2pt;height:3pt;mso-position-horizontal-relative:char;mso-position-vertical-relative:line" id="docshapegroup19" coordorigin="0,0" coordsize="10004,60">
                <v:line style="position:absolute" from="0,30" to="10003,30" stroked="true" strokeweight="3pt" strokecolor="#0e3d6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48"/>
        <w:rPr>
          <w:sz w:val="3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604967</wp:posOffset>
                </wp:positionH>
                <wp:positionV relativeFrom="paragraph">
                  <wp:posOffset>319120</wp:posOffset>
                </wp:positionV>
                <wp:extent cx="6352540" cy="21399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352540" cy="213995"/>
                        </a:xfrm>
                        <a:prstGeom prst="rect">
                          <a:avLst/>
                        </a:prstGeom>
                        <a:solidFill>
                          <a:srgbClr val="0E3D6D"/>
                        </a:solidFill>
                        <a:ln w="12700">
                          <a:solidFill>
                            <a:srgbClr val="0E3D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4098" w:val="left" w:leader="none"/>
                                <w:tab w:pos="7194" w:val="left" w:leader="none"/>
                              </w:tabs>
                              <w:spacing w:before="16"/>
                              <w:ind w:left="49" w:right="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21"/>
                              </w:rPr>
                              <w:t>Aspect</w:t>
                            </w: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1"/>
                              </w:rPr>
                              <w:t>Single-scale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21"/>
                              </w:rPr>
                              <w:t>(A)</w:t>
                            </w: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1"/>
                              </w:rPr>
                              <w:t>Multi-scale</w:t>
                            </w:r>
                            <w:r>
                              <w:rPr>
                                <w:b/>
                                <w:color w:val="FFFFFF"/>
                                <w:spacing w:val="36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w w:val="105"/>
                                <w:sz w:val="21"/>
                              </w:rPr>
                              <w:t>(B)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635201pt;margin-top:25.127581pt;width:500.2pt;height:16.850pt;mso-position-horizontal-relative:page;mso-position-vertical-relative:paragraph;z-index:-15724544;mso-wrap-distance-left:0;mso-wrap-distance-right:0" type="#_x0000_t202" id="docshape20" filled="true" fillcolor="#0e3d6d" stroked="true" strokeweight="1pt" strokecolor="#0e3d6d">
                <v:textbox inset="0,0,0,0">
                  <w:txbxContent>
                    <w:p>
                      <w:pPr>
                        <w:tabs>
                          <w:tab w:pos="4098" w:val="left" w:leader="none"/>
                          <w:tab w:pos="7194" w:val="left" w:leader="none"/>
                        </w:tabs>
                        <w:spacing w:before="16"/>
                        <w:ind w:left="49" w:right="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21"/>
                        </w:rPr>
                        <w:t>Aspect</w:t>
                      </w:r>
                      <w:r>
                        <w:rPr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b/>
                          <w:color w:val="FFFFFF"/>
                          <w:w w:val="105"/>
                          <w:sz w:val="21"/>
                        </w:rPr>
                        <w:t>Single-scale</w:t>
                      </w:r>
                      <w:r>
                        <w:rPr>
                          <w:b/>
                          <w:color w:val="FFFFFF"/>
                          <w:spacing w:val="4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w w:val="105"/>
                          <w:sz w:val="21"/>
                        </w:rPr>
                        <w:t>(A)</w:t>
                      </w:r>
                      <w:r>
                        <w:rPr>
                          <w:b/>
                          <w:color w:val="FFFFFF"/>
                          <w:sz w:val="21"/>
                        </w:rPr>
                        <w:tab/>
                      </w:r>
                      <w:r>
                        <w:rPr>
                          <w:b/>
                          <w:color w:val="FFFFFF"/>
                          <w:w w:val="105"/>
                          <w:sz w:val="21"/>
                        </w:rPr>
                        <w:t>Multi-scale</w:t>
                      </w:r>
                      <w:r>
                        <w:rPr>
                          <w:b/>
                          <w:color w:val="FFFFFF"/>
                          <w:spacing w:val="36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w w:val="105"/>
                          <w:sz w:val="21"/>
                        </w:rPr>
                        <w:t>(B)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color w:val="19192E"/>
          <w:w w:val="105"/>
        </w:rPr>
        <w:t>Benchmark</w:t>
      </w:r>
      <w:r>
        <w:rPr>
          <w:color w:val="19192E"/>
          <w:spacing w:val="7"/>
          <w:w w:val="105"/>
        </w:rPr>
        <w:t> </w:t>
      </w:r>
      <w:r>
        <w:rPr>
          <w:color w:val="19192E"/>
          <w:w w:val="105"/>
        </w:rPr>
        <w:t>summary</w:t>
      </w:r>
      <w:r>
        <w:rPr>
          <w:color w:val="19192E"/>
          <w:spacing w:val="7"/>
          <w:w w:val="105"/>
        </w:rPr>
        <w:t> </w:t>
      </w:r>
      <w:r>
        <w:rPr>
          <w:color w:val="19192E"/>
          <w:w w:val="105"/>
        </w:rPr>
        <w:t>&amp;</w:t>
      </w:r>
      <w:r>
        <w:rPr>
          <w:color w:val="19192E"/>
          <w:spacing w:val="7"/>
          <w:w w:val="105"/>
        </w:rPr>
        <w:t> </w:t>
      </w:r>
      <w:r>
        <w:rPr>
          <w:color w:val="19192E"/>
          <w:w w:val="105"/>
        </w:rPr>
        <w:t>next</w:t>
      </w:r>
      <w:r>
        <w:rPr>
          <w:color w:val="19192E"/>
          <w:spacing w:val="7"/>
          <w:w w:val="105"/>
        </w:rPr>
        <w:t> </w:t>
      </w:r>
      <w:r>
        <w:rPr>
          <w:color w:val="19192E"/>
          <w:spacing w:val="-2"/>
          <w:w w:val="105"/>
        </w:rPr>
        <w:t>steps</w:t>
      </w:r>
    </w:p>
    <w:p>
      <w:pPr>
        <w:pStyle w:val="BodyText"/>
        <w:tabs>
          <w:tab w:pos="4211" w:val="left" w:leader="none"/>
          <w:tab w:pos="7307" w:val="left" w:leader="none"/>
        </w:tabs>
        <w:spacing w:before="60"/>
        <w:ind w:left="162"/>
      </w:pPr>
      <w:r>
        <w:rPr>
          <w:color w:val="19192E"/>
        </w:rPr>
        <w:t>Large</w:t>
      </w:r>
      <w:r>
        <w:rPr>
          <w:color w:val="19192E"/>
          <w:spacing w:val="-6"/>
        </w:rPr>
        <w:t> </w:t>
      </w:r>
      <w:r>
        <w:rPr>
          <w:color w:val="19192E"/>
          <w:spacing w:val="-2"/>
        </w:rPr>
        <w:t>motion</w:t>
      </w:r>
      <w:r>
        <w:rPr>
          <w:color w:val="19192E"/>
        </w:rPr>
        <w:tab/>
        <w:t>aliases</w:t>
      </w:r>
      <w:r>
        <w:rPr>
          <w:color w:val="19192E"/>
          <w:spacing w:val="-5"/>
        </w:rPr>
        <w:t> </w:t>
      </w:r>
      <w:r>
        <w:rPr>
          <w:color w:val="19192E"/>
          <w:spacing w:val="-2"/>
        </w:rPr>
        <w:t>(&gt;lambda/2)</w:t>
      </w:r>
      <w:r>
        <w:rPr>
          <w:color w:val="19192E"/>
        </w:rPr>
        <w:tab/>
      </w:r>
      <w:r>
        <w:rPr>
          <w:color w:val="19192E"/>
          <w:spacing w:val="-2"/>
        </w:rPr>
        <w:t>handled</w:t>
      </w:r>
    </w:p>
    <w:p>
      <w:pPr>
        <w:pStyle w:val="BodyText"/>
        <w:tabs>
          <w:tab w:pos="4211" w:val="left" w:leader="none"/>
          <w:tab w:pos="7307" w:val="left" w:leader="none"/>
        </w:tabs>
        <w:spacing w:before="129"/>
        <w:ind w:left="162"/>
      </w:pPr>
      <w:r>
        <w:rPr>
          <w:color w:val="19192E"/>
        </w:rPr>
        <w:t>Warp</w:t>
      </w:r>
      <w:r>
        <w:rPr>
          <w:color w:val="19192E"/>
          <w:spacing w:val="-13"/>
        </w:rPr>
        <w:t> </w:t>
      </w:r>
      <w:r>
        <w:rPr>
          <w:color w:val="19192E"/>
          <w:spacing w:val="-2"/>
        </w:rPr>
        <w:t>residual</w:t>
      </w:r>
      <w:r>
        <w:rPr>
          <w:color w:val="19192E"/>
        </w:rPr>
        <w:tab/>
        <w:t>not</w:t>
      </w:r>
      <w:r>
        <w:rPr>
          <w:color w:val="19192E"/>
          <w:spacing w:val="19"/>
        </w:rPr>
        <w:t> </w:t>
      </w:r>
      <w:r>
        <w:rPr>
          <w:color w:val="19192E"/>
          <w:spacing w:val="-2"/>
        </w:rPr>
        <w:t>usable</w:t>
      </w:r>
      <w:r>
        <w:rPr>
          <w:color w:val="19192E"/>
        </w:rPr>
        <w:tab/>
        <w:t>121</w:t>
      </w:r>
      <w:r>
        <w:rPr>
          <w:color w:val="19192E"/>
          <w:spacing w:val="18"/>
        </w:rPr>
        <w:t> </w:t>
      </w:r>
      <w:r>
        <w:rPr>
          <w:color w:val="19192E"/>
        </w:rPr>
        <w:t>-&gt;</w:t>
      </w:r>
      <w:r>
        <w:rPr>
          <w:color w:val="19192E"/>
          <w:spacing w:val="18"/>
        </w:rPr>
        <w:t> </w:t>
      </w:r>
      <w:r>
        <w:rPr>
          <w:color w:val="19192E"/>
        </w:rPr>
        <w:t>4</w:t>
      </w:r>
      <w:r>
        <w:rPr>
          <w:color w:val="19192E"/>
          <w:spacing w:val="18"/>
        </w:rPr>
        <w:t> </w:t>
      </w:r>
      <w:r>
        <w:rPr>
          <w:color w:val="19192E"/>
          <w:spacing w:val="-5"/>
        </w:rPr>
        <w:t>px</w:t>
      </w:r>
    </w:p>
    <w:p>
      <w:pPr>
        <w:pStyle w:val="BodyText"/>
        <w:tabs>
          <w:tab w:pos="4211" w:val="left" w:leader="none"/>
          <w:tab w:pos="7307" w:val="left" w:leader="none"/>
        </w:tabs>
        <w:spacing w:before="129"/>
        <w:ind w:left="162"/>
      </w:pPr>
      <w:r>
        <w:rPr>
          <w:color w:val="19192E"/>
          <w:spacing w:val="-7"/>
        </w:rPr>
        <w:t>UV</w:t>
      </w:r>
      <w:r>
        <w:rPr>
          <w:color w:val="19192E"/>
          <w:spacing w:val="-8"/>
        </w:rPr>
        <w:t> </w:t>
      </w:r>
      <w:r>
        <w:rPr>
          <w:color w:val="19192E"/>
          <w:spacing w:val="-2"/>
        </w:rPr>
        <w:t>slices</w:t>
      </w:r>
      <w:r>
        <w:rPr>
          <w:color w:val="19192E"/>
        </w:rPr>
        <w:tab/>
      </w:r>
      <w:r>
        <w:rPr>
          <w:color w:val="19192E"/>
          <w:spacing w:val="-2"/>
        </w:rPr>
        <w:t>chaotic</w:t>
      </w:r>
      <w:r>
        <w:rPr>
          <w:color w:val="19192E"/>
        </w:rPr>
        <w:tab/>
        <w:t>approx.</w:t>
      </w:r>
      <w:r>
        <w:rPr>
          <w:color w:val="19192E"/>
          <w:spacing w:val="16"/>
        </w:rPr>
        <w:t> </w:t>
      </w:r>
      <w:r>
        <w:rPr>
          <w:color w:val="19192E"/>
        </w:rPr>
        <w:t>linear</w:t>
      </w:r>
      <w:r>
        <w:rPr>
          <w:color w:val="19192E"/>
          <w:spacing w:val="17"/>
        </w:rPr>
        <w:t> </w:t>
      </w:r>
      <w:r>
        <w:rPr>
          <w:color w:val="19192E"/>
          <w:spacing w:val="-4"/>
        </w:rPr>
        <w:t>ramp</w:t>
      </w:r>
    </w:p>
    <w:p>
      <w:pPr>
        <w:pStyle w:val="BodyText"/>
        <w:tabs>
          <w:tab w:pos="4211" w:val="left" w:leader="none"/>
          <w:tab w:pos="7307" w:val="left" w:leader="none"/>
        </w:tabs>
        <w:spacing w:before="128"/>
        <w:ind w:left="162"/>
      </w:pPr>
      <w:r>
        <w:rPr>
          <w:color w:val="19192E"/>
          <w:spacing w:val="-4"/>
        </w:rPr>
        <w:t>Cost</w:t>
      </w:r>
      <w:r>
        <w:rPr>
          <w:color w:val="19192E"/>
        </w:rPr>
        <w:tab/>
      </w:r>
      <w:r>
        <w:rPr>
          <w:color w:val="19192E"/>
          <w:spacing w:val="-10"/>
        </w:rPr>
        <w:t>1</w:t>
      </w:r>
      <w:r>
        <w:rPr>
          <w:color w:val="19192E"/>
          <w:spacing w:val="-4"/>
        </w:rPr>
        <w:t> </w:t>
      </w:r>
      <w:r>
        <w:rPr>
          <w:color w:val="19192E"/>
          <w:spacing w:val="-10"/>
        </w:rPr>
        <w:t>FFT</w:t>
      </w:r>
      <w:r>
        <w:rPr>
          <w:color w:val="19192E"/>
          <w:spacing w:val="-4"/>
        </w:rPr>
        <w:t> </w:t>
      </w:r>
      <w:r>
        <w:rPr>
          <w:color w:val="19192E"/>
          <w:spacing w:val="-10"/>
        </w:rPr>
        <w:t>set</w:t>
      </w:r>
      <w:r>
        <w:rPr>
          <w:color w:val="19192E"/>
        </w:rPr>
        <w:tab/>
        <w:t>pyramid</w:t>
      </w:r>
      <w:r>
        <w:rPr>
          <w:color w:val="19192E"/>
          <w:spacing w:val="24"/>
        </w:rPr>
        <w:t> </w:t>
      </w:r>
      <w:r>
        <w:rPr>
          <w:color w:val="19192E"/>
        </w:rPr>
        <w:t>x</w:t>
      </w:r>
      <w:r>
        <w:rPr>
          <w:color w:val="19192E"/>
          <w:spacing w:val="24"/>
        </w:rPr>
        <w:t> </w:t>
      </w:r>
      <w:r>
        <w:rPr>
          <w:color w:val="19192E"/>
          <w:spacing w:val="-2"/>
        </w:rPr>
        <w:t>refine</w:t>
      </w:r>
    </w:p>
    <w:p>
      <w:pPr>
        <w:pStyle w:val="BodyText"/>
        <w:spacing w:before="138"/>
        <w:rPr>
          <w:sz w:val="26"/>
        </w:rPr>
      </w:pPr>
    </w:p>
    <w:p>
      <w:pPr>
        <w:pStyle w:val="Heading3"/>
      </w:pPr>
      <w:r>
        <w:rPr>
          <w:color w:val="19192E"/>
          <w:spacing w:val="-2"/>
          <w:w w:val="105"/>
        </w:rPr>
        <w:t>Takeaways</w:t>
      </w:r>
    </w:p>
    <w:p>
      <w:pPr>
        <w:pStyle w:val="BodyText"/>
        <w:spacing w:before="213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0" w:after="0"/>
        <w:ind w:left="340" w:right="1674" w:hanging="210"/>
        <w:jc w:val="left"/>
        <w:rPr>
          <w:sz w:val="21"/>
        </w:rPr>
      </w:pPr>
      <w:r>
        <w:rPr>
          <w:color w:val="19192E"/>
          <w:spacing w:val="-2"/>
          <w:w w:val="105"/>
          <w:sz w:val="21"/>
        </w:rPr>
        <w:t>The pyramid argument holds: coarse-to-fine contextualisation overcomes the </w:t>
      </w:r>
      <w:r>
        <w:rPr>
          <w:color w:val="19192E"/>
          <w:spacing w:val="-2"/>
          <w:w w:val="105"/>
          <w:sz w:val="21"/>
        </w:rPr>
        <w:t>lambda/2 </w:t>
      </w:r>
      <w:r>
        <w:rPr>
          <w:color w:val="19192E"/>
          <w:w w:val="105"/>
          <w:sz w:val="21"/>
        </w:rPr>
        <w:t>ceiling, because the wrap limit only ever applies to the small per-level residual.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68" w:after="0"/>
        <w:ind w:left="340" w:right="1613" w:hanging="210"/>
        <w:jc w:val="left"/>
        <w:rPr>
          <w:sz w:val="21"/>
        </w:rPr>
      </w:pPr>
      <w:r>
        <w:rPr>
          <w:color w:val="19192E"/>
          <w:w w:val="105"/>
          <w:sz w:val="21"/>
        </w:rPr>
        <w:t>Sign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matters: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from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dphi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=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-k*delta,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the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displacement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is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-dphi/k;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a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wrong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sign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makes</w:t>
      </w:r>
      <w:r>
        <w:rPr>
          <w:color w:val="19192E"/>
          <w:spacing w:val="-8"/>
          <w:w w:val="105"/>
          <w:sz w:val="21"/>
        </w:rPr>
        <w:t> </w:t>
      </w:r>
      <w:r>
        <w:rPr>
          <w:color w:val="19192E"/>
          <w:w w:val="105"/>
          <w:sz w:val="21"/>
        </w:rPr>
        <w:t>the warp diverge (residual grew to 175 px before the fix).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92" w:lineRule="auto" w:before="67" w:after="0"/>
        <w:ind w:left="340" w:right="2011" w:hanging="210"/>
        <w:jc w:val="left"/>
        <w:rPr>
          <w:sz w:val="21"/>
        </w:rPr>
      </w:pPr>
      <w:r>
        <w:rPr>
          <w:color w:val="19192E"/>
          <w:w w:val="105"/>
          <w:sz w:val="21"/>
        </w:rPr>
        <w:t>The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test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data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is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anisotropic</w:t>
      </w:r>
      <w:r>
        <w:rPr>
          <w:color w:val="19192E"/>
          <w:spacing w:val="-4"/>
          <w:w w:val="105"/>
          <w:sz w:val="21"/>
        </w:rPr>
        <w:t> </w:t>
      </w:r>
      <w:r>
        <w:rPr>
          <w:color w:val="19192E"/>
          <w:spacing w:val="10"/>
          <w:position w:val="5"/>
          <w:sz w:val="21"/>
        </w:rPr>
        <w:drawing>
          <wp:inline distT="0" distB="0" distL="0" distR="0">
            <wp:extent cx="108826" cy="844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26" cy="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9192E"/>
          <w:spacing w:val="10"/>
          <w:position w:val="5"/>
          <w:sz w:val="21"/>
        </w:rPr>
      </w:r>
      <w:r>
        <w:rPr>
          <w:rFonts w:ascii="Times New Roman" w:hAnsi="Times New Roman"/>
          <w:color w:val="19192E"/>
          <w:spacing w:val="-3"/>
          <w:sz w:val="21"/>
        </w:rPr>
        <w:t> </w:t>
      </w:r>
      <w:r>
        <w:rPr>
          <w:color w:val="19192E"/>
          <w:w w:val="105"/>
          <w:sz w:val="21"/>
        </w:rPr>
        <w:t>clarify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what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relief0_sc1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actually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is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before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using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it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as</w:t>
      </w:r>
      <w:r>
        <w:rPr>
          <w:color w:val="19192E"/>
          <w:spacing w:val="-11"/>
          <w:w w:val="105"/>
          <w:sz w:val="21"/>
        </w:rPr>
        <w:t> </w:t>
      </w:r>
      <w:r>
        <w:rPr>
          <w:color w:val="19192E"/>
          <w:w w:val="105"/>
          <w:sz w:val="21"/>
        </w:rPr>
        <w:t>a scalar-scale ground truth.</w:t>
      </w:r>
    </w:p>
    <w:p>
      <w:pPr>
        <w:spacing w:before="9"/>
        <w:ind w:left="102" w:right="0" w:firstLine="0"/>
        <w:jc w:val="left"/>
        <w:rPr>
          <w:b/>
          <w:sz w:val="29"/>
        </w:rPr>
      </w:pPr>
      <w:r>
        <w:rPr>
          <w:b/>
          <w:color w:val="19192E"/>
          <w:w w:val="105"/>
          <w:sz w:val="29"/>
        </w:rPr>
        <w:t>Why</w:t>
      </w:r>
      <w:r>
        <w:rPr>
          <w:b/>
          <w:color w:val="19192E"/>
          <w:spacing w:val="11"/>
          <w:w w:val="105"/>
          <w:sz w:val="29"/>
        </w:rPr>
        <w:t> </w:t>
      </w:r>
      <w:r>
        <w:rPr>
          <w:b/>
          <w:color w:val="19192E"/>
          <w:w w:val="105"/>
          <w:sz w:val="29"/>
        </w:rPr>
        <w:t>this</w:t>
      </w:r>
      <w:r>
        <w:rPr>
          <w:b/>
          <w:color w:val="19192E"/>
          <w:spacing w:val="12"/>
          <w:w w:val="105"/>
          <w:sz w:val="29"/>
        </w:rPr>
        <w:t> </w:t>
      </w:r>
      <w:r>
        <w:rPr>
          <w:b/>
          <w:color w:val="19192E"/>
          <w:w w:val="105"/>
          <w:sz w:val="29"/>
        </w:rPr>
        <w:t>is</w:t>
      </w:r>
      <w:r>
        <w:rPr>
          <w:b/>
          <w:color w:val="19192E"/>
          <w:spacing w:val="11"/>
          <w:w w:val="105"/>
          <w:sz w:val="29"/>
        </w:rPr>
        <w:t> </w:t>
      </w:r>
      <w:r>
        <w:rPr>
          <w:b/>
          <w:color w:val="19192E"/>
          <w:w w:val="105"/>
          <w:sz w:val="29"/>
        </w:rPr>
        <w:t>still</w:t>
      </w:r>
      <w:r>
        <w:rPr>
          <w:b/>
          <w:color w:val="19192E"/>
          <w:spacing w:val="12"/>
          <w:w w:val="105"/>
          <w:sz w:val="29"/>
        </w:rPr>
        <w:t> </w:t>
      </w:r>
      <w:r>
        <w:rPr>
          <w:b/>
          <w:color w:val="19192E"/>
          <w:w w:val="105"/>
          <w:sz w:val="29"/>
        </w:rPr>
        <w:t>not</w:t>
      </w:r>
      <w:r>
        <w:rPr>
          <w:b/>
          <w:color w:val="19192E"/>
          <w:spacing w:val="11"/>
          <w:w w:val="105"/>
          <w:sz w:val="29"/>
        </w:rPr>
        <w:t> </w:t>
      </w:r>
      <w:r>
        <w:rPr>
          <w:b/>
          <w:color w:val="19192E"/>
          <w:w w:val="105"/>
          <w:sz w:val="29"/>
        </w:rPr>
        <w:t>enough</w:t>
      </w:r>
      <w:r>
        <w:rPr>
          <w:b/>
          <w:color w:val="19192E"/>
          <w:spacing w:val="12"/>
          <w:w w:val="105"/>
          <w:sz w:val="29"/>
        </w:rPr>
        <w:t> </w:t>
      </w:r>
      <w:r>
        <w:rPr>
          <w:b/>
          <w:color w:val="19192E"/>
          <w:w w:val="105"/>
          <w:sz w:val="29"/>
        </w:rPr>
        <w:t>for</w:t>
      </w:r>
      <w:r>
        <w:rPr>
          <w:b/>
          <w:color w:val="19192E"/>
          <w:spacing w:val="11"/>
          <w:w w:val="105"/>
          <w:sz w:val="29"/>
        </w:rPr>
        <w:t> </w:t>
      </w:r>
      <w:r>
        <w:rPr>
          <w:b/>
          <w:color w:val="19192E"/>
          <w:w w:val="105"/>
          <w:sz w:val="29"/>
        </w:rPr>
        <w:t>2D-</w:t>
      </w:r>
      <w:r>
        <w:rPr>
          <w:b/>
          <w:color w:val="19192E"/>
          <w:spacing w:val="-5"/>
          <w:w w:val="105"/>
          <w:sz w:val="29"/>
        </w:rPr>
        <w:t>&gt;3D</w:t>
      </w:r>
    </w:p>
    <w:p>
      <w:pPr>
        <w:pStyle w:val="BodyText"/>
        <w:spacing w:before="133"/>
        <w:rPr>
          <w:b/>
          <w:sz w:val="26"/>
        </w:rPr>
      </w:pPr>
    </w:p>
    <w:p>
      <w:pPr>
        <w:pStyle w:val="BodyText"/>
        <w:spacing w:line="316" w:lineRule="auto"/>
        <w:ind w:left="102" w:right="573"/>
      </w:pPr>
      <w:r>
        <w:rPr>
          <w:color w:val="19192E"/>
          <w:w w:val="105"/>
        </w:rPr>
        <w:t>The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4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px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residual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global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reconstruction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energy,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not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per-pixel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depth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accuracy.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Phase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flow</w:t>
      </w:r>
      <w:r>
        <w:rPr>
          <w:color w:val="19192E"/>
          <w:spacing w:val="-6"/>
          <w:w w:val="105"/>
        </w:rPr>
        <w:t> </w:t>
      </w:r>
      <w:r>
        <w:rPr>
          <w:color w:val="19192E"/>
          <w:w w:val="105"/>
        </w:rPr>
        <w:t>is defined only on textured edges and interpolated elsewhere, so the field lacks the sub-pixel smoothness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a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depth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reconstruction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needs.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Closing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that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gap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is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the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motivation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for</w:t>
      </w:r>
      <w:r>
        <w:rPr>
          <w:color w:val="19192E"/>
          <w:spacing w:val="-15"/>
          <w:w w:val="105"/>
        </w:rPr>
        <w:t> </w:t>
      </w:r>
      <w:r>
        <w:rPr>
          <w:color w:val="19192E"/>
          <w:w w:val="105"/>
        </w:rPr>
        <w:t>ImplicitKalman.</w:t>
      </w:r>
    </w:p>
    <w:p>
      <w:pPr>
        <w:pStyle w:val="Heading3"/>
        <w:spacing w:before="12"/>
      </w:pPr>
      <w:r>
        <w:rPr>
          <w:color w:val="19192E"/>
          <w:spacing w:val="-2"/>
          <w:w w:val="105"/>
        </w:rPr>
        <w:t>References</w:t>
      </w:r>
    </w:p>
    <w:p>
      <w:pPr>
        <w:pStyle w:val="BodyText"/>
        <w:spacing w:before="103"/>
        <w:rPr>
          <w:b/>
          <w:sz w:val="26"/>
        </w:rPr>
      </w:pPr>
    </w:p>
    <w:p>
      <w:pPr>
        <w:spacing w:line="295" w:lineRule="auto" w:before="0"/>
        <w:ind w:left="102" w:right="1852" w:firstLine="0"/>
        <w:jc w:val="left"/>
        <w:rPr>
          <w:sz w:val="19"/>
        </w:rPr>
      </w:pPr>
      <w:r>
        <w:rPr>
          <w:color w:val="545454"/>
          <w:sz w:val="19"/>
        </w:rPr>
        <w:t>Fleet &amp; Jepson 1990, Computation of component image velocity from local phase information, </w:t>
      </w:r>
      <w:r>
        <w:rPr>
          <w:color w:val="545454"/>
          <w:sz w:val="19"/>
        </w:rPr>
        <w:t>IJCV </w:t>
      </w:r>
      <w:r>
        <w:rPr>
          <w:color w:val="545454"/>
          <w:spacing w:val="-2"/>
          <w:sz w:val="19"/>
        </w:rPr>
        <w:t>5(1).</w:t>
      </w:r>
    </w:p>
    <w:p>
      <w:pPr>
        <w:spacing w:before="1"/>
        <w:ind w:left="102" w:right="0" w:firstLine="0"/>
        <w:jc w:val="left"/>
        <w:rPr>
          <w:sz w:val="19"/>
        </w:rPr>
      </w:pPr>
      <w:r>
        <w:rPr>
          <w:color w:val="545454"/>
          <w:sz w:val="19"/>
        </w:rPr>
        <w:t>Fleet</w:t>
      </w:r>
      <w:r>
        <w:rPr>
          <w:color w:val="545454"/>
          <w:spacing w:val="-10"/>
          <w:sz w:val="19"/>
        </w:rPr>
        <w:t> </w:t>
      </w:r>
      <w:r>
        <w:rPr>
          <w:color w:val="545454"/>
          <w:sz w:val="19"/>
        </w:rPr>
        <w:t>&amp;</w:t>
      </w:r>
      <w:r>
        <w:rPr>
          <w:color w:val="545454"/>
          <w:spacing w:val="-9"/>
          <w:sz w:val="19"/>
        </w:rPr>
        <w:t> </w:t>
      </w:r>
      <w:r>
        <w:rPr>
          <w:color w:val="545454"/>
          <w:sz w:val="19"/>
        </w:rPr>
        <w:t>Jepson</w:t>
      </w:r>
      <w:r>
        <w:rPr>
          <w:color w:val="545454"/>
          <w:spacing w:val="-9"/>
          <w:sz w:val="19"/>
        </w:rPr>
        <w:t> </w:t>
      </w:r>
      <w:r>
        <w:rPr>
          <w:color w:val="545454"/>
          <w:sz w:val="19"/>
        </w:rPr>
        <w:t>1993,</w:t>
      </w:r>
      <w:r>
        <w:rPr>
          <w:color w:val="545454"/>
          <w:spacing w:val="-9"/>
          <w:sz w:val="19"/>
        </w:rPr>
        <w:t> </w:t>
      </w:r>
      <w:r>
        <w:rPr>
          <w:color w:val="545454"/>
          <w:sz w:val="19"/>
        </w:rPr>
        <w:t>Stability</w:t>
      </w:r>
      <w:r>
        <w:rPr>
          <w:color w:val="545454"/>
          <w:spacing w:val="-10"/>
          <w:sz w:val="19"/>
        </w:rPr>
        <w:t> </w:t>
      </w:r>
      <w:r>
        <w:rPr>
          <w:color w:val="545454"/>
          <w:sz w:val="19"/>
        </w:rPr>
        <w:t>of</w:t>
      </w:r>
      <w:r>
        <w:rPr>
          <w:color w:val="545454"/>
          <w:spacing w:val="-9"/>
          <w:sz w:val="19"/>
        </w:rPr>
        <w:t> </w:t>
      </w:r>
      <w:r>
        <w:rPr>
          <w:color w:val="545454"/>
          <w:sz w:val="19"/>
        </w:rPr>
        <w:t>phase</w:t>
      </w:r>
      <w:r>
        <w:rPr>
          <w:color w:val="545454"/>
          <w:spacing w:val="-9"/>
          <w:sz w:val="19"/>
        </w:rPr>
        <w:t> </w:t>
      </w:r>
      <w:r>
        <w:rPr>
          <w:color w:val="545454"/>
          <w:sz w:val="19"/>
        </w:rPr>
        <w:t>information,</w:t>
      </w:r>
      <w:r>
        <w:rPr>
          <w:color w:val="545454"/>
          <w:spacing w:val="-9"/>
          <w:sz w:val="19"/>
        </w:rPr>
        <w:t> </w:t>
      </w:r>
      <w:r>
        <w:rPr>
          <w:color w:val="545454"/>
          <w:sz w:val="19"/>
        </w:rPr>
        <w:t>IEEE</w:t>
      </w:r>
      <w:r>
        <w:rPr>
          <w:color w:val="545454"/>
          <w:spacing w:val="-9"/>
          <w:sz w:val="19"/>
        </w:rPr>
        <w:t> </w:t>
      </w:r>
      <w:r>
        <w:rPr>
          <w:color w:val="545454"/>
          <w:sz w:val="19"/>
        </w:rPr>
        <w:t>PAMI</w:t>
      </w:r>
      <w:r>
        <w:rPr>
          <w:color w:val="545454"/>
          <w:spacing w:val="-10"/>
          <w:sz w:val="19"/>
        </w:rPr>
        <w:t> </w:t>
      </w:r>
      <w:r>
        <w:rPr>
          <w:color w:val="545454"/>
          <w:spacing w:val="-2"/>
          <w:sz w:val="19"/>
        </w:rPr>
        <w:t>15(12).</w:t>
      </w:r>
    </w:p>
    <w:p>
      <w:pPr>
        <w:spacing w:line="295" w:lineRule="auto" w:before="51"/>
        <w:ind w:left="102" w:right="2255" w:firstLine="0"/>
        <w:jc w:val="left"/>
        <w:rPr>
          <w:sz w:val="19"/>
        </w:rPr>
      </w:pPr>
      <w:r>
        <w:rPr>
          <w:color w:val="545454"/>
          <w:sz w:val="19"/>
        </w:rPr>
        <w:t>Barron,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Fleet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&amp;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Beauchemin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1994,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Performance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of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optical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flow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techniques,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IJCV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12(1). Wadhwa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et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al.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2013,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Phase-based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video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motion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processing,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ACM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TOG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(SIGGRAPH).</w:t>
      </w:r>
    </w:p>
    <w:p>
      <w:pPr>
        <w:spacing w:line="295" w:lineRule="auto" w:before="1"/>
        <w:ind w:left="102" w:right="1852" w:firstLine="0"/>
        <w:jc w:val="left"/>
        <w:rPr>
          <w:sz w:val="19"/>
        </w:rPr>
      </w:pPr>
      <w:r>
        <w:rPr>
          <w:color w:val="545454"/>
          <w:sz w:val="19"/>
        </w:rPr>
        <w:t>Large amplitude motion estimation via multi-scale phase-based video processing, Mech. </w:t>
      </w:r>
      <w:r>
        <w:rPr>
          <w:color w:val="545454"/>
          <w:sz w:val="19"/>
        </w:rPr>
        <w:t>Syst. Signal Process. 2026 (S0888327026004589).</w:t>
      </w:r>
    </w:p>
    <w:sectPr>
      <w:headerReference w:type="default" r:id="rId20"/>
      <w:pgSz w:w="11910" w:h="16840"/>
      <w:pgMar w:header="559" w:footer="0" w:top="74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592267</wp:posOffset>
              </wp:positionH>
              <wp:positionV relativeFrom="page">
                <wp:posOffset>357639</wp:posOffset>
              </wp:positionV>
              <wp:extent cx="935990" cy="1371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93599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9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3D6D"/>
                              <w:spacing w:val="-4"/>
                              <w:sz w:val="20"/>
                            </w:rPr>
                            <w:t>BACKGROUND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.635201pt;margin-top:28.160593pt;width:73.7pt;height:10.8pt;mso-position-horizontal-relative:page;mso-position-vertical-relative:page;z-index:-15906304" type="#_x0000_t202" id="docshape5" filled="false" stroked="false">
              <v:textbox inset="0,0,0,0">
                <w:txbxContent>
                  <w:p>
                    <w:pPr>
                      <w:spacing w:line="199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3D6D"/>
                        <w:spacing w:val="-4"/>
                        <w:sz w:val="20"/>
                      </w:rPr>
                      <w:t>BACKGROUND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1336676</wp:posOffset>
              </wp:positionH>
              <wp:positionV relativeFrom="page">
                <wp:posOffset>417894</wp:posOffset>
              </wp:positionV>
              <wp:extent cx="102235" cy="14604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102235" cy="146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235" h="14604">
                            <a:moveTo>
                              <a:pt x="101955" y="0"/>
                            </a:moveTo>
                            <a:lnTo>
                              <a:pt x="0" y="0"/>
                            </a:lnTo>
                            <a:lnTo>
                              <a:pt x="0" y="14401"/>
                            </a:lnTo>
                            <a:lnTo>
                              <a:pt x="101955" y="14401"/>
                            </a:lnTo>
                            <a:lnTo>
                              <a:pt x="101955" y="0"/>
                            </a:lnTo>
                            <a:close/>
                          </a:path>
                        </a:pathLst>
                      </a:custGeom>
                      <a:solidFill>
                        <a:srgbClr val="0E3D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05.250107pt;margin-top:32.905094pt;width:8.0280pt;height:1.134pt;mso-position-horizontal-relative:page;mso-position-vertical-relative:page;z-index:-15905792" id="docshape12" filled="true" fillcolor="#0e3d6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200">
              <wp:simplePos x="0" y="0"/>
              <wp:positionH relativeFrom="page">
                <wp:posOffset>604967</wp:posOffset>
              </wp:positionH>
              <wp:positionV relativeFrom="page">
                <wp:posOffset>587913</wp:posOffset>
              </wp:positionV>
              <wp:extent cx="6352540" cy="1270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63525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2540" h="0">
                            <a:moveTo>
                              <a:pt x="0" y="0"/>
                            </a:moveTo>
                            <a:lnTo>
                              <a:pt x="6352153" y="0"/>
                            </a:lnTo>
                          </a:path>
                        </a:pathLst>
                      </a:custGeom>
                      <a:ln w="38100">
                        <a:solidFill>
                          <a:srgbClr val="0E3D6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5280" from="47.635201pt,46.292393pt" to="547.804801pt,46.292393pt" stroked="true" strokeweight="3pt" strokecolor="#0e3d6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592267</wp:posOffset>
              </wp:positionH>
              <wp:positionV relativeFrom="page">
                <wp:posOffset>356845</wp:posOffset>
              </wp:positionV>
              <wp:extent cx="711200" cy="13716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71120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9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3D6D"/>
                              <w:sz w:val="20"/>
                            </w:rPr>
                            <w:t>METHOD</w:t>
                          </w:r>
                          <w:r>
                            <w:rPr>
                              <w:b/>
                              <w:color w:val="0E3D6D"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0E3D6D"/>
                              <w:spacing w:val="-10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5201pt;margin-top:28.098093pt;width:56pt;height:10.8pt;mso-position-horizontal-relative:page;mso-position-vertical-relative:page;z-index:-15904768" type="#_x0000_t202" id="docshape13" filled="false" stroked="false">
              <v:textbox inset="0,0,0,0">
                <w:txbxContent>
                  <w:p>
                    <w:pPr>
                      <w:spacing w:line="199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3D6D"/>
                        <w:sz w:val="20"/>
                      </w:rPr>
                      <w:t>METHOD</w:t>
                    </w:r>
                    <w:r>
                      <w:rPr>
                        <w:b/>
                        <w:color w:val="0E3D6D"/>
                        <w:spacing w:val="15"/>
                        <w:sz w:val="20"/>
                      </w:rPr>
                      <w:t> </w:t>
                    </w:r>
                    <w:r>
                      <w:rPr>
                        <w:b/>
                        <w:color w:val="0E3D6D"/>
                        <w:spacing w:val="-10"/>
                        <w:sz w:val="20"/>
                      </w:rPr>
                      <w:t>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224">
              <wp:simplePos x="0" y="0"/>
              <wp:positionH relativeFrom="page">
                <wp:posOffset>1471880</wp:posOffset>
              </wp:positionH>
              <wp:positionV relativeFrom="page">
                <wp:posOffset>356845</wp:posOffset>
              </wp:positionV>
              <wp:extent cx="1770380" cy="1371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77038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9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3D6D"/>
                              <w:spacing w:val="-2"/>
                              <w:w w:val="105"/>
                              <w:sz w:val="20"/>
                            </w:rPr>
                            <w:t>src/PhaseFlowLocalFreq.py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896103pt;margin-top:28.098093pt;width:139.4pt;height:10.8pt;mso-position-horizontal-relative:page;mso-position-vertical-relative:page;z-index:-15904256" type="#_x0000_t202" id="docshape14" filled="false" stroked="false">
              <v:textbox inset="0,0,0,0">
                <w:txbxContent>
                  <w:p>
                    <w:pPr>
                      <w:spacing w:line="199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3D6D"/>
                        <w:spacing w:val="-2"/>
                        <w:w w:val="105"/>
                        <w:sz w:val="20"/>
                      </w:rPr>
                      <w:t>src/PhaseFlowLocalFreq.py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2736">
              <wp:simplePos x="0" y="0"/>
              <wp:positionH relativeFrom="page">
                <wp:posOffset>1335336</wp:posOffset>
              </wp:positionH>
              <wp:positionV relativeFrom="page">
                <wp:posOffset>417894</wp:posOffset>
              </wp:positionV>
              <wp:extent cx="102235" cy="14604"/>
              <wp:effectExtent l="0" t="0" r="0" b="0"/>
              <wp:wrapNone/>
              <wp:docPr id="29" name="Graphic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Graphic 29"/>
                    <wps:cNvSpPr/>
                    <wps:spPr>
                      <a:xfrm>
                        <a:off x="0" y="0"/>
                        <a:ext cx="102235" cy="146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235" h="14604">
                            <a:moveTo>
                              <a:pt x="101955" y="0"/>
                            </a:moveTo>
                            <a:lnTo>
                              <a:pt x="0" y="0"/>
                            </a:lnTo>
                            <a:lnTo>
                              <a:pt x="0" y="14401"/>
                            </a:lnTo>
                            <a:lnTo>
                              <a:pt x="101955" y="14401"/>
                            </a:lnTo>
                            <a:lnTo>
                              <a:pt x="101955" y="0"/>
                            </a:lnTo>
                            <a:close/>
                          </a:path>
                        </a:pathLst>
                      </a:custGeom>
                      <a:solidFill>
                        <a:srgbClr val="0E3D6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05.144638pt;margin-top:32.905094pt;width:8.0280pt;height:1.134pt;mso-position-horizontal-relative:page;mso-position-vertical-relative:page;z-index:-15903744" id="docshape15" filled="true" fillcolor="#0e3d6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604967</wp:posOffset>
              </wp:positionH>
              <wp:positionV relativeFrom="page">
                <wp:posOffset>587913</wp:posOffset>
              </wp:positionV>
              <wp:extent cx="6352540" cy="127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63525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2540" h="0">
                            <a:moveTo>
                              <a:pt x="0" y="0"/>
                            </a:moveTo>
                            <a:lnTo>
                              <a:pt x="6352153" y="0"/>
                            </a:lnTo>
                          </a:path>
                        </a:pathLst>
                      </a:custGeom>
                      <a:ln w="38100">
                        <a:solidFill>
                          <a:srgbClr val="0E3D6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3232" from="47.635201pt,46.292393pt" to="547.804801pt,46.292393pt" stroked="true" strokeweight="3pt" strokecolor="#0e3d6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592267</wp:posOffset>
              </wp:positionH>
              <wp:positionV relativeFrom="page">
                <wp:posOffset>356845</wp:posOffset>
              </wp:positionV>
              <wp:extent cx="709930" cy="13716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70993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9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3D6D"/>
                              <w:sz w:val="20"/>
                            </w:rPr>
                            <w:t>METHOD</w:t>
                          </w:r>
                          <w:r>
                            <w:rPr>
                              <w:b/>
                              <w:color w:val="0E3D6D"/>
                              <w:spacing w:val="1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0E3D6D"/>
                              <w:spacing w:val="-10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5201pt;margin-top:28.098093pt;width:55.9pt;height:10.8pt;mso-position-horizontal-relative:page;mso-position-vertical-relative:page;z-index:-15902720" type="#_x0000_t202" id="docshape16" filled="false" stroked="false">
              <v:textbox inset="0,0,0,0">
                <w:txbxContent>
                  <w:p>
                    <w:pPr>
                      <w:spacing w:line="199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3D6D"/>
                        <w:sz w:val="20"/>
                      </w:rPr>
                      <w:t>METHOD</w:t>
                    </w:r>
                    <w:r>
                      <w:rPr>
                        <w:b/>
                        <w:color w:val="0E3D6D"/>
                        <w:spacing w:val="15"/>
                        <w:sz w:val="20"/>
                      </w:rPr>
                      <w:t> </w:t>
                    </w:r>
                    <w:r>
                      <w:rPr>
                        <w:b/>
                        <w:color w:val="0E3D6D"/>
                        <w:spacing w:val="-10"/>
                        <w:sz w:val="20"/>
                      </w:rPr>
                      <w:t>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1470541</wp:posOffset>
              </wp:positionH>
              <wp:positionV relativeFrom="page">
                <wp:posOffset>356845</wp:posOffset>
              </wp:positionV>
              <wp:extent cx="1813560" cy="13716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81356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9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3D6D"/>
                              <w:spacing w:val="-2"/>
                              <w:w w:val="105"/>
                              <w:sz w:val="20"/>
                            </w:rPr>
                            <w:t>src/MultiScalePhaseFlow.py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790634pt;margin-top:28.098093pt;width:142.8pt;height:10.8pt;mso-position-horizontal-relative:page;mso-position-vertical-relative:page;z-index:-15902208" type="#_x0000_t202" id="docshape17" filled="false" stroked="false">
              <v:textbox inset="0,0,0,0">
                <w:txbxContent>
                  <w:p>
                    <w:pPr>
                      <w:spacing w:line="199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3D6D"/>
                        <w:spacing w:val="-2"/>
                        <w:w w:val="105"/>
                        <w:sz w:val="20"/>
                      </w:rPr>
                      <w:t>src/MultiScalePhaseFlow.py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784">
              <wp:simplePos x="0" y="0"/>
              <wp:positionH relativeFrom="page">
                <wp:posOffset>592267</wp:posOffset>
              </wp:positionH>
              <wp:positionV relativeFrom="page">
                <wp:posOffset>357639</wp:posOffset>
              </wp:positionV>
              <wp:extent cx="948055" cy="13716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94805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9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3D6D"/>
                              <w:spacing w:val="-2"/>
                              <w:sz w:val="20"/>
                            </w:rPr>
                            <w:t>CONCLUSIONS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635201pt;margin-top:28.160593pt;width:74.650pt;height:10.8pt;mso-position-horizontal-relative:page;mso-position-vertical-relative:page;z-index:-15901696" type="#_x0000_t202" id="docshape18" filled="false" stroked="false">
              <v:textbox inset="0,0,0,0">
                <w:txbxContent>
                  <w:p>
                    <w:pPr>
                      <w:spacing w:line="199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3D6D"/>
                        <w:spacing w:val="-2"/>
                        <w:sz w:val="20"/>
                      </w:rPr>
                      <w:t>CONCLUSIONS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5.250000pt" o:bullet="t">
        <v:imagedata r:id="rId1" o:title="image10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40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3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5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6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7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8" w:hanging="21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7"/>
      <w:ind w:left="102"/>
      <w:outlineLvl w:val="1"/>
    </w:pPr>
    <w:rPr>
      <w:rFonts w:ascii="Arial" w:hAnsi="Arial" w:eastAsia="Arial" w:cs="Arial"/>
      <w:b/>
      <w:bCs/>
      <w:sz w:val="51"/>
      <w:szCs w:val="5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2"/>
      <w:outlineLvl w:val="2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2"/>
      <w:outlineLvl w:val="3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2"/>
      <w:outlineLvl w:val="4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40" w:hanging="21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6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2.xml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header" Target="header3.xml"/><Relationship Id="rId19" Type="http://schemas.openxmlformats.org/officeDocument/2006/relationships/image" Target="media/image13.jpeg"/><Relationship Id="rId20" Type="http://schemas.openxmlformats.org/officeDocument/2006/relationships/header" Target="header4.xml"/><Relationship Id="rId21" Type="http://schemas.openxmlformats.org/officeDocument/2006/relationships/image" Target="media/image14.png"/><Relationship Id="rId22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2026-08-05T08:28:55Z</dcterms:created>
  <dcterms:modified xsi:type="dcterms:W3CDTF">2026-08-05T08:28:55Z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2026-07-14T00:00:00Z</vt:filetime>
  </property>
  <property fmtid="{D5CDD505-2E9C-101B-9397-08002B2CF9AE}" pid="3" name="Creator">
    <vt:lpwstr>Matplotlib v3.10.9, https://matplotlib.org</vt:lpwstr>
  </property>
  <property fmtid="{D5CDD505-2E9C-101B-9397-08002B2CF9AE}" pid="4" name="Producer">
    <vt:lpwstr>Matplotlib pdf backend v3.10.9</vt:lpwstr>
  </property>
  <property fmtid="{D5CDD505-2E9C-101B-9397-08002B2CF9AE}" pid="5" name="LastSaved">
    <vt:filetime>2026-07-14T00:00:00Z</vt:filetime>
  </property>
</Properties>
</file>