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DBEB8">
      <w:pPr>
        <w:pStyle w:val="2"/>
        <w:bidi w:val="0"/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西安交通大学</w:t>
      </w:r>
    </w:p>
    <w:p w14:paraId="7D8DE6D3">
      <w:pPr>
        <w:pStyle w:val="2"/>
        <w:bidi w:val="0"/>
        <w:jc w:val="center"/>
        <w:rPr>
          <w:rFonts w:hint="default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雷达解调信息波开源技术文档</w:t>
      </w:r>
    </w:p>
    <w:p w14:paraId="5A396A1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比赛效果：除了两小局因为和裁判系统相连接的usb转ttl接触不良以及串口线问题导致信息波没能开起来，其他时候每局都能保证易伤时间2070+s，最高易伤时间为2080+s。</w:t>
      </w:r>
    </w:p>
    <w:p w14:paraId="0B2E12E1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当前稳定版本采用两块 AD9361-sdr、均为单接收通道。一块负责解调信息波，一块负责解调干扰波。信息波坐标是主要来源，国赛时无地面视觉。这套方案结构简单，已经完成实战验证。</w:t>
      </w:r>
    </w:p>
    <w:p w14:paraId="457B66D2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硬件选型：当前双板比赛链路围绕 433 MHz 频段搭建。硬件选型如下：</w:t>
      </w:r>
    </w:p>
    <w:p w14:paraId="75DB212F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两块AD9361 SDR，两根全向天线（天线选型没有过多要求，只要是符合433MHZ的全向天线，不论是否带有增益均可）。仅此而已。</w:t>
      </w:r>
    </w:p>
    <w:p w14:paraId="1F62D35E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71895" cy="3475990"/>
            <wp:effectExtent l="0" t="0" r="1905" b="381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A3F75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主要工作：此代码与流程图均为原创，在超级对抗赛规则1.4前对标的是4RRC-FSK解调，并未参考任何其他开源项目，因此与大部分开源代码不同，此流程图并未用到Gfsk demod模块，换句话说，此流程图修改部分参数可以完成1.3规则提到的4RRC-FSK解调部分的一二级解调（已实验验证）。比赛中解调信息波在下位机（工控机）上运行，反制无人机在上位机（联想R7000笔记本电脑）上运行，下位机解得信息后发送给上位机，再由上位机进行处理发送。</w:t>
      </w:r>
    </w:p>
    <w:p w14:paraId="68F8FE02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drawing>
          <wp:inline distT="0" distB="0" distL="114300" distR="114300">
            <wp:extent cx="5265420" cy="7019925"/>
            <wp:effectExtent l="0" t="0" r="5080" b="3175"/>
            <wp:docPr id="2" name="图片 2" descr="解调信息波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解调信息波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C1137"/>
    <w:rsid w:val="57F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2026-08-18T14:02:00Z</dcterms:created>
  <dc:creator>王柏瑜</dc:creator>
  <cp:lastModifiedBy>王柏瑜</cp:lastModifiedBy>
  <dcterms:modified xsi:type="dcterms:W3CDTF">2026-08-18T14:38:22Z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A966F29DE79444099A2086A2B274007E_11</vt:lpwstr>
  </property>
  <property fmtid="{D5CDD505-2E9C-101B-9397-08002B2CF9AE}" pid="4" name="KSOTemplateDocerSaveRecord">
    <vt:lpwstr>eyJoZGlkIjoiZjRjNjczNDQ5ZGQ4MDU3ZmJjNmVhY2RkN2Y4OTgyZjkiLCJ1c2VySWQiOiIxNzQ3ODAyNzUyIn0=</vt:lpwstr>
  </property>
</Properties>
</file>