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formatting</w:t>
      </w:r>
    </w:p>
    <w:p>
      <w:r>
        <w:t xml:space="preserve">A resilient learner keeps the original </w:t>
      </w:r>
      <w:r>
        <w:rPr>
          <w:highlight w:val="yellow"/>
        </w:rPr>
        <w:t>yellow highlight</w:t>
      </w:r>
      <w:r>
        <w:t xml:space="preserve"> and </w:t>
      </w:r>
      <w:r>
        <w:rPr>
          <w:b/>
          <w:color w:val="C00000"/>
        </w:rPr>
        <w:t>red text</w:t>
      </w:r>
      <w:r>
        <w:t>.</w:t>
      </w:r>
    </w:p>
    <w:p>
      <w:pPr>
        <w:pStyle w:val="Readingaccent"/>
      </w:pPr>
      <w:r>
        <w:t>Paragraph style carries blue ink.</w:t>
      </w:r>
    </w:p>
    <w:p>
      <w:r>
        <w:t xml:space="preserve">Active </w:t>
      </w:r>
      <w:r>
        <w:rPr>
          <w:rStyle w:val="Markedterm"/>
        </w:rPr>
        <w:t>retrieval</w:t>
      </w:r>
      <w:r>
        <w:t xml:space="preserve"> helps memory.</w:t>
      </w:r>
    </w:p>
    <w:p>
      <w:r>
        <w:rPr>
          <w:highlight w:val="darkBlue"/>
        </w:rPr>
        <w:t>Dark blue highlight</w:t>
      </w:r>
      <w:r>
        <w:t xml:space="preserve"> / </w:t>
      </w:r>
      <w:r>
        <w:rPr>
          <w:u w:val="single"/>
        </w:rPr>
        <w:t>underlined detail</w:t>
      </w:r>
    </w:p>
    <w:p>
      <w:r>
        <w:rPr>
          <w:color w:val="95B3D7" w:themeColor="accent1" w:themeTint="99"/>
        </w:rPr>
        <w:t>Theme tint</w:t>
      </w:r>
      <w:r>
        <w:t xml:space="preserve"> / </w:t>
      </w:r>
      <w:r>
        <w:rPr>
          <w:shd w:val="clear" w:fill="D8EAD3"/>
        </w:rPr>
        <w:t>Shaded text</w:t>
      </w:r>
    </w:p>
    <w:p>
      <w:r>
        <w:drawing>
          <wp:inline xmlns:a="http://schemas.openxmlformats.org/drawingml/2006/main" xmlns:pic="http://schemas.openxmlformats.org/drawingml/2006/picture">
            <wp:extent cx="3657600" cy="1066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atting-fig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Read, recall and review.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Example</w:t>
            </w:r>
          </w:p>
        </w:tc>
      </w:tr>
      <w:tr>
        <w:tc>
          <w:tcPr>
            <w:tcW w:type="dxa" w:w="4320"/>
          </w:tcPr>
          <w:p>
            <w:r>
              <w:t>Retrieval</w:t>
            </w:r>
          </w:p>
        </w:tc>
        <w:tc>
          <w:tcPr>
            <w:tcW w:type="dxa" w:w="4320"/>
          </w:tcPr>
          <w:p>
            <w:r>
              <w:rPr>
                <w:color w:val="008000"/>
                <w:highlight w:val="yellow"/>
              </w:rPr>
              <w:t>Colored table cell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adingaccent">
    <w:name w:val="Reading accent"/>
    <w:rPr>
      <w:color w:val="0066CC"/>
    </w:rPr>
  </w:style>
  <w:style w:type="character" w:customStyle="1" w:styleId="Markedterm">
    <w:name w:val="Marked term"/>
    <w:rPr>
      <w:b/>
      <w:color w:val="800000"/>
      <w:highlight w:val="cya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