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with context</w:t>
      </w:r>
    </w:p>
    <w:p>
      <w:r>
        <w:t>A resilient learner returns to a challenging problem.</w:t>
      </w:r>
    </w:p>
    <w:p>
      <w:pPr>
        <w:pStyle w:val="Heading1"/>
      </w:pPr>
      <w:r>
        <w:t>Retrieval practice</w:t>
      </w:r>
    </w:p>
    <w:p>
      <w:r>
        <w:t>Before you reveal the answer, try to remember its meaning.</w:t>
      </w:r>
    </w:p>
    <w:p>
      <w:r>
        <w:t>保留原句，使用主动回忆和间隔复习。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resilient</w:t>
            </w:r>
          </w:p>
        </w:tc>
        <w:tc>
          <w:tcPr>
            <w:tcW w:type="dxa" w:w="4320"/>
          </w:tcPr>
          <w:p>
            <w:r>
              <w:t>有韧性的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