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COOPERATION AND LICENSE AGREEMENT</w:t>
      </w:r>
    </w:p>
    <w:p>
      <w:pPr>
        <w:pStyle w:val="Heading2"/>
      </w:pPr>
      <w:r>
        <w:t>RECITALS</w:t>
      </w:r>
    </w:p>
    <w:p>
      <w:r>
        <w:t>This Cooperation and License Agreement (the "Agreement") is entered into as of January 15, 2026, by and between Alpha BioTech Inc. ("Licensor") and Beta Pharma Corp. ("Licensee").</w:t>
      </w:r>
    </w:p>
    <w:p>
      <w:pPr>
        <w:pStyle w:val="Heading2"/>
      </w:pPr>
      <w:r>
        <w:t>Section 1: Definitions</w:t>
      </w:r>
    </w:p>
    <w:p>
      <w:r>
        <w:t>1.1 "Licensed Technology" means all patents, proprietary methods, and clinical data owned by Licensor.</w:t>
      </w:r>
    </w:p>
    <w:p>
      <w:r>
        <w:t>1.2 "Net Sales" means the gross amount invoiced for products sold less standard deductions.</w:t>
      </w:r>
    </w:p>
    <w:p>
      <w:pPr>
        <w:pStyle w:val="Heading2"/>
      </w:pPr>
      <w:r>
        <w:t>Section 11: Term and Termination</w:t>
      </w:r>
    </w:p>
    <w:p>
      <w:r>
        <w:t>Section 11.1 Term. This Agreement shall commence on the Effective Date and continue for a period of five (5) years.</w:t>
      </w:r>
    </w:p>
    <w:p>
      <w:r>
        <w:t>Section 11.2 Termination Without Cause. Either party may terminate this Agreement for convenience and without cause upon ninety (90) days prior written notice to the other party.</w:t>
      </w:r>
    </w:p>
    <w:p>
      <w:r>
        <w:t>Section 11.3 Termination for Cause. Either party may terminate upon thirty (30) days written notice if the other party materially breaches any term and fails to cure within such thirty-day period.</w:t>
      </w:r>
    </w:p>
    <w:p>
      <w:pPr>
        <w:pStyle w:val="Heading2"/>
      </w:pPr>
      <w:r>
        <w:t>Section 14: Limitation of Liability</w:t>
      </w:r>
    </w:p>
    <w:p>
      <w:r>
        <w:t>Section 14.1 Limitation of Liability. In no event shall either party's aggregate liability exceed the total fees paid or payable in the preceding twelve (12) months. Neither party shall be liable for indirect, incidental, or consequential damages.</w:t>
      </w:r>
    </w:p>
    <w:p>
      <w:pPr>
        <w:pStyle w:val="Heading2"/>
      </w:pPr>
      <w:r>
        <w:t>Section 18: Miscellaneous</w:t>
      </w:r>
    </w:p>
    <w:p>
      <w:r>
        <w:t>Section 18.1 Entire Agreement. This Agreement constitutes the sole agreement between the parties.</w:t>
      </w:r>
    </w:p>
    <w:p>
      <w:r>
        <w:t>Section 18.3 Governing Law. This Agreement shall be governed by and construed in accordance with the internal laws of the State of Delaware without giving effect to any choice of law principle.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