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CHẾ NHÂN SỰ VÀ THƯỞNG HIỆU QUẢ CÔNG VIỆC 2026</w:t>
      </w:r>
    </w:p>
    <w:p>
      <w:pPr>
        <w:pStyle w:val="Heading2"/>
      </w:pPr>
      <w:r>
        <w:t>Điều 1: Thời giờ làm việc và Nghỉ phép năm</w:t>
      </w:r>
    </w:p>
    <w:p>
      <w:r>
        <w:t>1.1. Thời gian làm việc tiêu chuẩn là 8 giờ/ngày, từ thứ Hai đến thứ Sáu (8:00 - 17:00).</w:t>
      </w:r>
    </w:p>
    <w:p>
      <w:r>
        <w:t>1.2. Mỗi nhân viên chính thức được hưởng 12 ngày phép năm có hưởng nguyên lương. Nhân viên có thâm niên trên 5 năm cứ mỗi 3 năm được cộng thêm 1 ngày phép.</w:t>
      </w:r>
    </w:p>
    <w:p>
      <w:pPr>
        <w:pStyle w:val="Heading2"/>
      </w:pPr>
      <w:r>
        <w:t>Điều 2: Chính sách Thưởng và Phụ cấp Ngoài giờ (OT)</w:t>
      </w:r>
    </w:p>
    <w:p>
      <w:r>
        <w:t>2.1. Phụ cấp làm thêm giờ (OT) ngày thường tính 150% lương giờ cơ bản. OT ngày nghỉ hàng tuần (Chủ nhật) tính 200%. OT ngày lễ tết tính 300%.</w:t>
      </w:r>
    </w:p>
    <w:p>
      <w:r>
        <w:t>2.2. Nhân viên làm việc từ sau 22:00 được trợ cấp bữa ăn đêm 100.000 VNĐ/buổi.</w:t>
      </w:r>
    </w:p>
    <w:p>
      <w:r>
        <w:t>2.3. Thưởng hiệu quả công việc (KPI) được xét duyệt theo quý, mức thưởng tối đa 3 tháng lương cho cá nhân đạt xếp loại Xuất sắc A+.</w:t>
      </w:r>
    </w:p>
    <w:p>
      <w:pPr>
        <w:pStyle w:val="Heading2"/>
      </w:pPr>
      <w:r>
        <w:t>Điều 3: Quyền hạn và Trách nhiệm Bảo mật</w:t>
      </w:r>
    </w:p>
    <w:p>
      <w:r>
        <w:t>Nhân viên vi phạm quy định bảo mật dữ liệu khách hàng sẽ bị xử lý kỷ luật sa thải và bồi thường thiệt hại tối thiểu 50.000.000 VNĐ.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