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8D5FE">
      <w:bookmarkStart w:id="57" w:name="_GoBack"/>
      <w:bookmarkEnd w:id="57"/>
    </w:p>
    <w:p w14:paraId="61812E13"/>
    <w:p w14:paraId="6BC6237D"/>
    <w:p w14:paraId="1346F083"/>
    <w:p w14:paraId="1E02C071"/>
    <w:p w14:paraId="266F6C32"/>
    <w:p w14:paraId="4771E617">
      <w:pPr>
        <w:spacing w:after="360"/>
        <w:jc w:val="center"/>
      </w:pPr>
      <w:r>
        <w:rPr>
          <w:rFonts w:ascii="微软雅黑" w:hAnsi="微软雅黑" w:eastAsia="微软雅黑" w:cs="微软雅黑"/>
          <w:b/>
          <w:color w:val="A66A20"/>
          <w:sz w:val="22"/>
          <w:lang w:eastAsia="zh-CN"/>
        </w:rPr>
        <w:t>ENTERPRISE DATA &amp; AGENT OS</w:t>
      </w:r>
    </w:p>
    <w:p w14:paraId="3BF95C70">
      <w:pPr>
        <w:spacing w:after="160"/>
        <w:jc w:val="center"/>
      </w:pPr>
      <w:r>
        <w:rPr>
          <w:rFonts w:ascii="黑体" w:hAnsi="黑体" w:eastAsia="黑体" w:cs="黑体"/>
          <w:b w:val="0"/>
          <w:color w:val="173F5F"/>
          <w:sz w:val="64"/>
          <w:lang w:eastAsia="zh-CN"/>
        </w:rPr>
        <w:t>知行数枢</w:t>
      </w:r>
    </w:p>
    <w:p w14:paraId="196DE224">
      <w:pPr>
        <w:spacing w:after="360"/>
        <w:jc w:val="center"/>
      </w:pPr>
      <w:r>
        <w:rPr>
          <w:rFonts w:ascii="黑体" w:hAnsi="黑体" w:eastAsia="黑体" w:cs="黑体"/>
          <w:b w:val="0"/>
          <w:color w:val="1D6F7A"/>
          <w:sz w:val="40"/>
          <w:lang w:eastAsia="zh-CN"/>
        </w:rPr>
        <w:t>企业数据智能运营中枢</w:t>
      </w:r>
    </w:p>
    <w:p w14:paraId="3EC0D80E">
      <w:pPr>
        <w:spacing w:after="600"/>
        <w:jc w:val="center"/>
      </w:pPr>
      <w:r>
        <w:rPr>
          <w:rFonts w:ascii="微软雅黑" w:hAnsi="微软雅黑" w:eastAsia="微软雅黑" w:cs="微软雅黑"/>
          <w:color w:val="65727E"/>
          <w:sz w:val="30"/>
          <w:lang w:eastAsia="zh-CN"/>
        </w:rPr>
        <w:t>产品架构白皮书</w:t>
      </w:r>
    </w:p>
    <w:p w14:paraId="601D03DB">
      <w:pPr>
        <w:spacing w:after="1160" w:line="336" w:lineRule="auto"/>
        <w:ind w:left="936" w:right="936"/>
        <w:jc w:val="center"/>
      </w:pPr>
      <w:r>
        <w:rPr>
          <w:rFonts w:ascii="微软雅黑" w:hAnsi="微软雅黑" w:eastAsia="微软雅黑" w:cs="微软雅黑"/>
          <w:color w:val="1E2933"/>
          <w:sz w:val="26"/>
          <w:lang w:eastAsia="zh-CN"/>
        </w:rPr>
        <w:t>把分散的数据、制度与组织经验，转化为可分析、可决策、可执行、可持续进化的企业智能能力。</w:t>
      </w:r>
    </w:p>
    <w:p w14:paraId="2623644C">
      <w:pPr>
        <w:spacing w:after="80"/>
        <w:jc w:val="center"/>
      </w:pPr>
      <w:r>
        <w:rPr>
          <w:rFonts w:ascii="微软雅黑" w:hAnsi="微软雅黑" w:eastAsia="微软雅黑" w:cs="微软雅黑"/>
          <w:color w:val="65727E"/>
          <w:sz w:val="19"/>
          <w:lang w:eastAsia="zh-CN"/>
        </w:rPr>
        <w:t>适用企业：电商、零售及多系统运营企业</w:t>
      </w:r>
    </w:p>
    <w:p w14:paraId="134322E0">
      <w:pPr>
        <w:jc w:val="center"/>
      </w:pPr>
      <w:r>
        <w:rPr>
          <w:rFonts w:ascii="微软雅黑" w:hAnsi="微软雅黑" w:eastAsia="微软雅黑" w:cs="微软雅黑"/>
          <w:color w:val="65727E"/>
          <w:sz w:val="19"/>
          <w:lang w:eastAsia="zh-CN"/>
        </w:rPr>
        <w:t>版本 V1.0  |  2026年8月</w:t>
      </w:r>
    </w:p>
    <w:p w14:paraId="3F93C213">
      <w:r>
        <w:br w:type="page"/>
      </w:r>
    </w:p>
    <w:p w14:paraId="0FF31AE9">
      <w:pPr>
        <w:pStyle w:val="3"/>
        <w:keepNext/>
        <w:keepLines/>
      </w:pPr>
      <w:bookmarkStart w:id="0" w:name="_Toc5612"/>
      <w:r>
        <w:t>目录</w:t>
      </w:r>
      <w:bookmarkEnd w:id="0"/>
    </w:p>
    <w:p w14:paraId="10BB3CDF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fldChar w:fldCharType="begin"/>
      </w:r>
      <w:r>
        <w:rPr>
          <w:rFonts w:ascii="微软雅黑" w:hAnsi="微软雅黑" w:eastAsia="微软雅黑" w:cs="微软雅黑"/>
          <w:color w:val="65727E"/>
          <w:sz w:val="18"/>
          <w:lang w:eastAsia="zh-CN"/>
        </w:rPr>
        <w:instrText xml:space="preserve">TOC \o "1-3" \h \z \u</w:instrText>
      </w:r>
      <w:r>
        <w:rPr>
          <w:rFonts w:ascii="微软雅黑" w:hAnsi="微软雅黑" w:eastAsia="微软雅黑" w:cs="微软雅黑"/>
          <w:color w:val="65727E"/>
          <w:sz w:val="18"/>
          <w:lang w:eastAsia="zh-CN"/>
        </w:rPr>
        <w:fldChar w:fldCharType="separate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_Toc5612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_Toc5612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9CF0CE8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_Toc12541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执行摘要</w:t>
      </w:r>
      <w:r>
        <w:tab/>
      </w:r>
      <w:r>
        <w:fldChar w:fldCharType="begin"/>
      </w:r>
      <w:r>
        <w:instrText xml:space="preserve"> PAGEREF _Toc12541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34BBA647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_Toc1137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1. 产品定位与愿景</w:t>
      </w:r>
      <w:r>
        <w:tab/>
      </w:r>
      <w:r>
        <w:fldChar w:fldCharType="begin"/>
      </w:r>
      <w:r>
        <w:instrText xml:space="preserve"> PAGEREF _Toc1137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EE03B70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_Toc17362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1.1 一句话定位</w:t>
      </w:r>
      <w:r>
        <w:tab/>
      </w:r>
      <w:r>
        <w:fldChar w:fldCharType="begin"/>
      </w:r>
      <w:r>
        <w:instrText xml:space="preserve"> PAGEREF _Toc17362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468AB7D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_Toc8549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1.2 产品愿景</w:t>
      </w:r>
      <w:r>
        <w:tab/>
      </w:r>
      <w:r>
        <w:fldChar w:fldCharType="begin"/>
      </w:r>
      <w:r>
        <w:instrText xml:space="preserve"> PAGEREF _Toc8549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6C0094D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_Toc6838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1.3 产品边界</w:t>
      </w:r>
      <w:r>
        <w:tab/>
      </w:r>
      <w:r>
        <w:fldChar w:fldCharType="begin"/>
      </w:r>
      <w:r>
        <w:instrText xml:space="preserve"> PAGEREF _Toc6838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85AA431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_Toc2327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2. 客户问题与产品价值</w:t>
      </w:r>
      <w:r>
        <w:tab/>
      </w:r>
      <w:r>
        <w:fldChar w:fldCharType="begin"/>
      </w:r>
      <w:r>
        <w:instrText xml:space="preserve"> PAGEREF _Toc2327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0E71CFA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_Toc15783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2.1 企业面临的共同问题</w:t>
      </w:r>
      <w:r>
        <w:tab/>
      </w:r>
      <w:r>
        <w:fldChar w:fldCharType="begin"/>
      </w:r>
      <w:r>
        <w:instrText xml:space="preserve"> PAGEREF _Toc15783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FA831A5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_Toc13515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2.2 客户获得的核心价值</w:t>
      </w:r>
      <w:r>
        <w:tab/>
      </w:r>
      <w:r>
        <w:fldChar w:fldCharType="begin"/>
      </w:r>
      <w:r>
        <w:instrText xml:space="preserve"> PAGEREF _Toc13515 \h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512503C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_Toc5396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3. 产品能力全景</w:t>
      </w:r>
      <w:r>
        <w:tab/>
      </w:r>
      <w:r>
        <w:fldChar w:fldCharType="begin"/>
      </w:r>
      <w:r>
        <w:instrText xml:space="preserve"> PAGEREF _Toc5396 \h </w:instrText>
      </w:r>
      <w:r>
        <w:fldChar w:fldCharType="separate"/>
      </w:r>
      <w:r>
        <w:t>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7396F12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_Toc22151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3.1 多角色体验</w:t>
      </w:r>
      <w:r>
        <w:tab/>
      </w:r>
      <w:r>
        <w:fldChar w:fldCharType="begin"/>
      </w:r>
      <w:r>
        <w:instrText xml:space="preserve"> PAGEREF _Toc22151 \h </w:instrText>
      </w:r>
      <w:r>
        <w:fldChar w:fldCharType="separate"/>
      </w:r>
      <w:r>
        <w:t>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CA0DA46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_Toc4342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4. 总体产品架构</w:t>
      </w:r>
      <w:r>
        <w:tab/>
      </w:r>
      <w:r>
        <w:fldChar w:fldCharType="begin"/>
      </w:r>
      <w:r>
        <w:instrText xml:space="preserve"> PAGEREF _Toc4342 \h </w:instrText>
      </w:r>
      <w:r>
        <w:fldChar w:fldCharType="separate"/>
      </w:r>
      <w:r>
        <w:t>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3848F9E6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_Toc13380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4.1 分层说明</w:t>
      </w:r>
      <w:r>
        <w:tab/>
      </w:r>
      <w:r>
        <w:fldChar w:fldCharType="begin"/>
      </w:r>
      <w:r>
        <w:instrText xml:space="preserve"> PAGEREF _Toc13380 \h </w:instrText>
      </w:r>
      <w:r>
        <w:fldChar w:fldCharType="separate"/>
      </w:r>
      <w:r>
        <w:t>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B2F0211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_Toc9656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4.2 两个贯穿式控制面</w:t>
      </w:r>
      <w:r>
        <w:tab/>
      </w:r>
      <w:r>
        <w:fldChar w:fldCharType="begin"/>
      </w:r>
      <w:r>
        <w:instrText xml:space="preserve"> PAGEREF _Toc9656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FD7CCB6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_Toc1455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5. 企业资产与真值架构</w:t>
      </w:r>
      <w:r>
        <w:tab/>
      </w:r>
      <w:r>
        <w:fldChar w:fldCharType="begin"/>
      </w:r>
      <w:r>
        <w:instrText xml:space="preserve"> PAGEREF _Toc1455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12875EB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_Toc13697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5.1 为什么必须分开</w:t>
      </w:r>
      <w:r>
        <w:tab/>
      </w:r>
      <w:r>
        <w:fldChar w:fldCharType="begin"/>
      </w:r>
      <w:r>
        <w:instrText xml:space="preserve"> PAGEREF _Toc13697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0DB4215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_Toc12506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5.2 事实优先级</w:t>
      </w:r>
      <w:r>
        <w:tab/>
      </w:r>
      <w:r>
        <w:fldChar w:fldCharType="begin"/>
      </w:r>
      <w:r>
        <w:instrText xml:space="preserve"> PAGEREF _Toc12506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A49ED8C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_Toc28819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6. 企业数据中心架构</w:t>
      </w:r>
      <w:r>
        <w:tab/>
      </w:r>
      <w:r>
        <w:fldChar w:fldCharType="begin"/>
      </w:r>
      <w:r>
        <w:instrText xml:space="preserve"> PAGEREF _Toc28819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9D03E50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_Toc25998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6.1 数据链路</w:t>
      </w:r>
      <w:r>
        <w:tab/>
      </w:r>
      <w:r>
        <w:fldChar w:fldCharType="begin"/>
      </w:r>
      <w:r>
        <w:instrText xml:space="preserve"> PAGEREF _Toc25998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31D29C47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_Toc19932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6.2 权威事实与数据边界</w:t>
      </w:r>
      <w:r>
        <w:tab/>
      </w:r>
      <w:r>
        <w:fldChar w:fldCharType="begin"/>
      </w:r>
      <w:r>
        <w:instrText xml:space="preserve"> PAGEREF _Toc19932 \h </w:instrText>
      </w:r>
      <w:r>
        <w:fldChar w:fldCharType="separate"/>
      </w:r>
      <w:r>
        <w:t>12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20C15002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_Toc21537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6.3 为什么不建设影子 ERP</w:t>
      </w:r>
      <w:r>
        <w:tab/>
      </w:r>
      <w:r>
        <w:fldChar w:fldCharType="begin"/>
      </w:r>
      <w:r>
        <w:instrText xml:space="preserve"> PAGEREF _Toc21537 \h </w:instrText>
      </w:r>
      <w:r>
        <w:fldChar w:fldCharType="separate"/>
      </w:r>
      <w:r>
        <w:t>12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E840DED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_Toc1271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7. 企业知识与角色记忆架构</w:t>
      </w:r>
      <w:r>
        <w:tab/>
      </w:r>
      <w:r>
        <w:fldChar w:fldCharType="begin"/>
      </w:r>
      <w:r>
        <w:instrText xml:space="preserve"> PAGEREF _Toc1271 \h </w:instrText>
      </w:r>
      <w:r>
        <w:fldChar w:fldCharType="separate"/>
      </w:r>
      <w:r>
        <w:t>12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1B81A92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_Toc25590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7.1 正式知识生命周期</w:t>
      </w:r>
      <w:r>
        <w:tab/>
      </w:r>
      <w:r>
        <w:fldChar w:fldCharType="begin"/>
      </w:r>
      <w:r>
        <w:instrText xml:space="preserve"> PAGEREF _Toc25590 \h </w:instrText>
      </w:r>
      <w:r>
        <w:fldChar w:fldCharType="separate"/>
      </w:r>
      <w:r>
        <w:t>12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13F9EE4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_Toc32034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7.2 角色记忆生命周期</w:t>
      </w:r>
      <w:r>
        <w:tab/>
      </w:r>
      <w:r>
        <w:fldChar w:fldCharType="begin"/>
      </w:r>
      <w:r>
        <w:instrText xml:space="preserve"> PAGEREF _Toc32034 \h </w:instrText>
      </w:r>
      <w:r>
        <w:fldChar w:fldCharType="separate"/>
      </w:r>
      <w:r>
        <w:t>13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1C666A9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_Toc12057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8. 角色分身与智能体架构</w:t>
      </w:r>
      <w:r>
        <w:tab/>
      </w:r>
      <w:r>
        <w:fldChar w:fldCharType="begin"/>
      </w:r>
      <w:r>
        <w:instrText xml:space="preserve"> PAGEREF _Toc12057 \h </w:instrText>
      </w:r>
      <w:r>
        <w:fldChar w:fldCharType="separate"/>
      </w:r>
      <w:r>
        <w:t>13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D7794B1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_Toc244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8.1 一个分身由什么组成</w:t>
      </w:r>
      <w:r>
        <w:tab/>
      </w:r>
      <w:r>
        <w:fldChar w:fldCharType="begin"/>
      </w:r>
      <w:r>
        <w:instrText xml:space="preserve"> PAGEREF _Toc244 \h </w:instrText>
      </w:r>
      <w:r>
        <w:fldChar w:fldCharType="separate"/>
      </w:r>
      <w:r>
        <w:t>13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F794CC2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_Toc29584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8.2 分身不是权限主体</w:t>
      </w:r>
      <w:r>
        <w:tab/>
      </w:r>
      <w:r>
        <w:fldChar w:fldCharType="begin"/>
      </w:r>
      <w:r>
        <w:instrText xml:space="preserve"> PAGEREF _Toc29584 \h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ED56904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_Toc17638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8.3 运行时解耦</w:t>
      </w:r>
      <w:r>
        <w:tab/>
      </w:r>
      <w:r>
        <w:fldChar w:fldCharType="begin"/>
      </w:r>
      <w:r>
        <w:instrText xml:space="preserve"> PAGEREF _Toc17638 \h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264C13FA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_Toc28757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9. 语义、证据与 AI 质量架构</w:t>
      </w:r>
      <w:r>
        <w:tab/>
      </w:r>
      <w:r>
        <w:fldChar w:fldCharType="begin"/>
      </w:r>
      <w:r>
        <w:instrText xml:space="preserve"> PAGEREF _Toc28757 \h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F71524D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_Toc32481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9.1 EvidenceSnapshot 的作用</w:t>
      </w:r>
      <w:r>
        <w:tab/>
      </w:r>
      <w:r>
        <w:fldChar w:fldCharType="begin"/>
      </w:r>
      <w:r>
        <w:instrText xml:space="preserve"> PAGEREF _Toc32481 \h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1D37C85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_Toc4896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9.2 AI 输出结构</w:t>
      </w:r>
      <w:r>
        <w:tab/>
      </w:r>
      <w:r>
        <w:fldChar w:fldCharType="begin"/>
      </w:r>
      <w:r>
        <w:instrText xml:space="preserve"> PAGEREF _Toc4896 \h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99C8EFA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_Toc32620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9.3 质量闭环</w:t>
      </w:r>
      <w:r>
        <w:tab/>
      </w:r>
      <w:r>
        <w:fldChar w:fldCharType="begin"/>
      </w:r>
      <w:r>
        <w:instrText xml:space="preserve"> PAGEREF _Toc32620 \h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817E8E2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_Toc17757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10. 数字会议与智能分析架构</w:t>
      </w:r>
      <w:r>
        <w:tab/>
      </w:r>
      <w:r>
        <w:fldChar w:fldCharType="begin"/>
      </w:r>
      <w:r>
        <w:instrText xml:space="preserve"> PAGEREF _Toc17757 \h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37F74796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_Toc313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10.1 数字会议协议</w:t>
      </w:r>
      <w:r>
        <w:tab/>
      </w:r>
      <w:r>
        <w:fldChar w:fldCharType="begin"/>
      </w:r>
      <w:r>
        <w:instrText xml:space="preserve"> PAGEREF _Toc313 \h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9D67C3C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_Toc23050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10.2 经营分析</w:t>
      </w:r>
      <w:r>
        <w:tab/>
      </w:r>
      <w:r>
        <w:fldChar w:fldCharType="begin"/>
      </w:r>
      <w:r>
        <w:instrText xml:space="preserve"> PAGEREF _Toc23050 \h </w:instrText>
      </w:r>
      <w:r>
        <w:fldChar w:fldCharType="separate"/>
      </w:r>
      <w:r>
        <w:t>16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E7DE040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_Toc18969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11. 行动与执行架构</w:t>
      </w:r>
      <w:r>
        <w:tab/>
      </w:r>
      <w:r>
        <w:fldChar w:fldCharType="begin"/>
      </w:r>
      <w:r>
        <w:instrText xml:space="preserve"> PAGEREF _Toc18969 \h </w:instrText>
      </w:r>
      <w:r>
        <w:fldChar w:fldCharType="separate"/>
      </w:r>
      <w:r>
        <w:t>16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12ED656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_Toc27474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11.1 工具风险分级</w:t>
      </w:r>
      <w:r>
        <w:tab/>
      </w:r>
      <w:r>
        <w:fldChar w:fldCharType="begin"/>
      </w:r>
      <w:r>
        <w:instrText xml:space="preserve"> PAGEREF _Toc27474 \h </w:instrText>
      </w:r>
      <w:r>
        <w:fldChar w:fldCharType="separate"/>
      </w:r>
      <w:r>
        <w:t>16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A36322E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_Toc20649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11.2 受控行动状态</w:t>
      </w:r>
      <w:r>
        <w:tab/>
      </w:r>
      <w:r>
        <w:fldChar w:fldCharType="begin"/>
      </w:r>
      <w:r>
        <w:instrText xml:space="preserve"> PAGEREF _Toc20649 \h </w:instrText>
      </w:r>
      <w:r>
        <w:fldChar w:fldCharType="separate"/>
      </w:r>
      <w:r>
        <w:t>17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ACE3905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_Toc11798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12. 身份、安全与审计架构</w:t>
      </w:r>
      <w:r>
        <w:tab/>
      </w:r>
      <w:r>
        <w:fldChar w:fldCharType="begin"/>
      </w:r>
      <w:r>
        <w:instrText xml:space="preserve"> PAGEREF _Toc11798 \h </w:instrText>
      </w:r>
      <w:r>
        <w:fldChar w:fldCharType="separate"/>
      </w:r>
      <w:r>
        <w:t>18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D9E4A11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_Toc29737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12.1 身份概念分离</w:t>
      </w:r>
      <w:r>
        <w:tab/>
      </w:r>
      <w:r>
        <w:fldChar w:fldCharType="begin"/>
      </w:r>
      <w:r>
        <w:instrText xml:space="preserve"> PAGEREF _Toc29737 \h </w:instrText>
      </w:r>
      <w:r>
        <w:fldChar w:fldCharType="separate"/>
      </w:r>
      <w:r>
        <w:t>18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FD7389B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_Toc13008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12.2 统一 ActorContext</w:t>
      </w:r>
      <w:r>
        <w:tab/>
      </w:r>
      <w:r>
        <w:fldChar w:fldCharType="begin"/>
      </w:r>
      <w:r>
        <w:instrText xml:space="preserve"> PAGEREF _Toc13008 \h </w:instrText>
      </w:r>
      <w:r>
        <w:fldChar w:fldCharType="separate"/>
      </w:r>
      <w:r>
        <w:t>18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19E0235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_Toc102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12.3 全入口一致授权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>18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AEAFB60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_Toc1648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12.4 审计与隐私</w:t>
      </w:r>
      <w:r>
        <w:tab/>
      </w:r>
      <w:r>
        <w:fldChar w:fldCharType="begin"/>
      </w:r>
      <w:r>
        <w:instrText xml:space="preserve"> PAGEREF _Toc1648 \h </w:instrText>
      </w:r>
      <w:r>
        <w:fldChar w:fldCharType="separate"/>
      </w:r>
      <w:r>
        <w:t>19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208A3BD3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_Toc17824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13. 开放与集成架构</w:t>
      </w:r>
      <w:r>
        <w:tab/>
      </w:r>
      <w:r>
        <w:fldChar w:fldCharType="begin"/>
      </w:r>
      <w:r>
        <w:instrText xml:space="preserve"> PAGEREF _Toc17824 \h </w:instrText>
      </w:r>
      <w:r>
        <w:fldChar w:fldCharType="separate"/>
      </w:r>
      <w:r>
        <w:t>19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AD75114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_Toc31512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13.1 可插拔能力</w:t>
      </w:r>
      <w:r>
        <w:tab/>
      </w:r>
      <w:r>
        <w:fldChar w:fldCharType="begin"/>
      </w:r>
      <w:r>
        <w:instrText xml:space="preserve"> PAGEREF _Toc31512 \h </w:instrText>
      </w:r>
      <w:r>
        <w:fldChar w:fldCharType="separate"/>
      </w:r>
      <w:r>
        <w:t>19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05505B8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_Toc3268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13.2 为什么坚持企业自有契约</w:t>
      </w:r>
      <w:r>
        <w:tab/>
      </w:r>
      <w:r>
        <w:fldChar w:fldCharType="begin"/>
      </w:r>
      <w:r>
        <w:instrText xml:space="preserve"> PAGEREF _Toc3268 \h </w:instrText>
      </w:r>
      <w:r>
        <w:fldChar w:fldCharType="separate"/>
      </w:r>
      <w:r>
        <w:t>19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0DD41A38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_Toc24563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13.3 私有化部署</w:t>
      </w:r>
      <w:r>
        <w:tab/>
      </w:r>
      <w:r>
        <w:fldChar w:fldCharType="begin"/>
      </w:r>
      <w:r>
        <w:instrText xml:space="preserve"> PAGEREF _Toc24563 \h </w:instrText>
      </w:r>
      <w:r>
        <w:fldChar w:fldCharType="separate"/>
      </w:r>
      <w:r>
        <w:t>20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2E109909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_Toc12931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14. 产品架构优势</w:t>
      </w:r>
      <w:r>
        <w:tab/>
      </w:r>
      <w:r>
        <w:fldChar w:fldCharType="begin"/>
      </w:r>
      <w:r>
        <w:instrText xml:space="preserve"> PAGEREF _Toc12931 \h </w:instrText>
      </w:r>
      <w:r>
        <w:fldChar w:fldCharType="separate"/>
      </w:r>
      <w:r>
        <w:t>20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898AAAE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_Toc26735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 代表性业务场景</w:t>
      </w:r>
      <w:r>
        <w:tab/>
      </w:r>
      <w:r>
        <w:fldChar w:fldCharType="begin"/>
      </w:r>
      <w:r>
        <w:instrText xml:space="preserve"> PAGEREF _Toc26735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37922A4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_Toc18437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15.1 管理者分身：从重复答疑到组织能力复用</w:t>
      </w:r>
      <w:r>
        <w:tab/>
      </w:r>
      <w:r>
        <w:fldChar w:fldCharType="begin"/>
      </w:r>
      <w:r>
        <w:instrText xml:space="preserve"> PAGEREF _Toc18437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301C544F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_Toc18086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15.2 经营异常：从看见问题到形成行动</w:t>
      </w:r>
      <w:r>
        <w:tab/>
      </w:r>
      <w:r>
        <w:fldChar w:fldCharType="begin"/>
      </w:r>
      <w:r>
        <w:instrText xml:space="preserve"> PAGEREF _Toc18086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69C387F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_Toc20039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15.3 自动巡店：从人工检查到受治理调度</w:t>
      </w:r>
      <w:r>
        <w:tab/>
      </w:r>
      <w:r>
        <w:fldChar w:fldCharType="begin"/>
      </w:r>
      <w:r>
        <w:instrText xml:space="preserve"> PAGEREF _Toc20039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1734F161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_Toc22977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15.4 智能客服：从查订单到安全草拟</w:t>
      </w:r>
      <w:r>
        <w:tab/>
      </w:r>
      <w:r>
        <w:fldChar w:fldCharType="begin"/>
      </w:r>
      <w:r>
        <w:instrText xml:space="preserve"> PAGEREF _Toc22977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5EA3EDC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_Toc2414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15.5 平台治理：从系统配置到统一审计</w:t>
      </w:r>
      <w:r>
        <w:tab/>
      </w:r>
      <w:r>
        <w:fldChar w:fldCharType="begin"/>
      </w:r>
      <w:r>
        <w:instrText xml:space="preserve"> PAGEREF _Toc2414 \h </w:instrText>
      </w:r>
      <w:r>
        <w:fldChar w:fldCharType="separate"/>
      </w:r>
      <w:r>
        <w:t>21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784E75EC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_Toc6279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16. 产品能力演进蓝图</w:t>
      </w:r>
      <w:r>
        <w:tab/>
      </w:r>
      <w:r>
        <w:fldChar w:fldCharType="begin"/>
      </w:r>
      <w:r>
        <w:instrText xml:space="preserve"> PAGEREF _Toc6279 \h </w:instrText>
      </w:r>
      <w:r>
        <w:fldChar w:fldCharType="separate"/>
      </w:r>
      <w:r>
        <w:t>22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2B96A8DE">
      <w:pPr>
        <w:pStyle w:val="29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_Toc5002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16.1 演进原则</w:t>
      </w:r>
      <w:r>
        <w:tab/>
      </w:r>
      <w:r>
        <w:fldChar w:fldCharType="begin"/>
      </w:r>
      <w:r>
        <w:instrText xml:space="preserve"> PAGEREF _Toc5002 \h </w:instrText>
      </w:r>
      <w:r>
        <w:fldChar w:fldCharType="separate"/>
      </w:r>
      <w:r>
        <w:t>22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607B90B9">
      <w:pPr>
        <w:pStyle w:val="26"/>
        <w:tabs>
          <w:tab w:val="right" w:leader="dot" w:pos="9360"/>
        </w:tabs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begin"/>
      </w:r>
      <w:r>
        <w:rPr>
          <w:rFonts w:ascii="微软雅黑" w:hAnsi="微软雅黑" w:eastAsia="微软雅黑" w:cs="微软雅黑"/>
          <w:lang w:eastAsia="zh-CN"/>
        </w:rPr>
        <w:instrText xml:space="preserve"> HYPERLINK \l _Toc24970 </w:instrText>
      </w:r>
      <w:r>
        <w:rPr>
          <w:rFonts w:ascii="微软雅黑" w:hAnsi="微软雅黑" w:eastAsia="微软雅黑" w:cs="微软雅黑"/>
          <w:lang w:eastAsia="zh-CN"/>
        </w:rPr>
        <w:fldChar w:fldCharType="separate"/>
      </w:r>
      <w:r>
        <w:t>结语</w:t>
      </w:r>
      <w:r>
        <w:tab/>
      </w:r>
      <w:r>
        <w:fldChar w:fldCharType="begin"/>
      </w:r>
      <w:r>
        <w:instrText xml:space="preserve"> PAGEREF _Toc24970 \h </w:instrText>
      </w:r>
      <w:r>
        <w:fldChar w:fldCharType="separate"/>
      </w:r>
      <w:r>
        <w:t>22</w:t>
      </w:r>
      <w:r>
        <w:fldChar w:fldCharType="end"/>
      </w: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5ABDAA81">
      <w:pPr>
        <w:spacing w:before="120" w:after="240"/>
      </w:pPr>
      <w:r>
        <w:rPr>
          <w:rFonts w:ascii="微软雅黑" w:hAnsi="微软雅黑" w:eastAsia="微软雅黑" w:cs="微软雅黑"/>
          <w:color w:val="65727E"/>
          <w:lang w:eastAsia="zh-CN"/>
        </w:rPr>
        <w:fldChar w:fldCharType="end"/>
      </w:r>
    </w:p>
    <w:p w14:paraId="481BCFAC">
      <w:r>
        <w:br w:type="page"/>
      </w:r>
    </w:p>
    <w:p w14:paraId="4082A382">
      <w:pPr>
        <w:pStyle w:val="3"/>
        <w:keepNext/>
        <w:keepLines/>
      </w:pPr>
      <w:bookmarkStart w:id="1" w:name="_Toc12541"/>
      <w:r>
        <w:t>执行摘要</w:t>
      </w:r>
      <w:bookmarkEnd w:id="1"/>
    </w:p>
    <w:p w14:paraId="4B3976BB">
      <w:pPr>
        <w:keepLines/>
        <w:pBdr>
          <w:left w:val="single" w:color="1D6F7A" w:sz="24" w:space="8"/>
        </w:pBdr>
        <w:shd w:val="clear" w:fill="EAF1F6"/>
        <w:spacing w:before="160" w:after="200" w:line="288" w:lineRule="auto"/>
        <w:ind w:left="259" w:right="173"/>
      </w:pPr>
      <w:r>
        <w:rPr>
          <w:rFonts w:ascii="黑体" w:hAnsi="黑体" w:eastAsia="黑体" w:cs="黑体"/>
          <w:b w:val="0"/>
          <w:color w:val="1D6F7A"/>
          <w:sz w:val="21"/>
          <w:lang w:eastAsia="zh-CN"/>
        </w:rPr>
        <w:t xml:space="preserve">核心主张  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企业真正需要的不是更多聊天窗口，而是一套能够持续读取最新企业事实、复用组织经验、形成共同决策并在授权范围内推动工作的数据智能中枢。</w:t>
      </w:r>
    </w:p>
    <w:p w14:paraId="3B945BFC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知行数枢首先建立企业自己的经营事实、正式知识、角色记忆和证据体系，再让不同岗位的智能体基于同一事实工作。它连接已有 ERP、CRM、店铺、广告、财务、物流、客服与协同系统，不推翻既有业务主系统；它复用人的经验，但不取消人的责任；它扩大 AI 能力，同时保留企业对数据、权限、决策和行动的主导权。</w:t>
      </w:r>
    </w:p>
    <w:p w14:paraId="2CD2C6E5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产品以管理者智能分身作为高价值入口，向数字会议、经营分析、自动巡店、行动工作台和智能客服延伸。所有应用共享同一套身份、数据、知识、证据、工具、评测和审计底座，避免形成多个口径不一致、权限不一致、无法追溯的 AI 孤岛。</w:t>
      </w:r>
    </w:p>
    <w:p w14:paraId="44713008">
      <w:pPr>
        <w:keepNext/>
        <w:keepLines/>
        <w:spacing w:before="120" w:after="80"/>
        <w:jc w:val="center"/>
      </w:pPr>
      <w:r>
        <w:drawing>
          <wp:inline distT="0" distB="0" distL="114300" distR="114300">
            <wp:extent cx="5806440" cy="2322195"/>
            <wp:effectExtent l="0" t="0" r="3810" b="1905"/>
            <wp:docPr id="1" name="Picture 1" descr="连接、治理、理解、决策、行动和进化构成闭环" title="图 1  知行数枢的企业智能价值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连接、治理、理解、决策、行动和进化构成闭环" title="图 1  知行数枢的企业智能价值循环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E9CF">
      <w:pPr>
        <w:keepLines/>
        <w:spacing w:before="0" w:after="160"/>
        <w:jc w:val="center"/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t>图 1  知行数枢的企业智能价值循环</w:t>
      </w:r>
    </w:p>
    <w:p w14:paraId="2419CF59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这套架构的关键不是让模型拥有更多自由，而是让模型获得更可靠的企业上下文，并把每次判断置于可追溯、可复核、可审批的业务边界内。</w:t>
      </w:r>
    </w:p>
    <w:p w14:paraId="6D19C4B2">
      <w:pPr>
        <w:pStyle w:val="3"/>
        <w:keepNext/>
        <w:keepLines/>
        <w:pageBreakBefore/>
      </w:pPr>
      <w:bookmarkStart w:id="2" w:name="_Toc1137"/>
      <w:r>
        <w:t>1. 产品定位与愿景</w:t>
      </w:r>
      <w:bookmarkEnd w:id="2"/>
    </w:p>
    <w:p w14:paraId="2F47B341">
      <w:pPr>
        <w:pStyle w:val="4"/>
        <w:keepNext/>
        <w:keepLines/>
      </w:pPr>
      <w:bookmarkStart w:id="3" w:name="_Toc17362"/>
      <w:r>
        <w:t>1.1 一句话定位</w:t>
      </w:r>
      <w:bookmarkEnd w:id="3"/>
    </w:p>
    <w:p w14:paraId="7EC5542C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知行数枢是企业私有化的数据智能运营中枢：汇聚并治理企业经营数据、制度知识和组织经验，向人和智能体提供统一、可追溯的分析与决策能力，并通过受控工具、审批和复盘逐步形成运营闭环。</w:t>
      </w:r>
    </w:p>
    <w:p w14:paraId="2532B6FE">
      <w:pPr>
        <w:pStyle w:val="4"/>
        <w:keepNext/>
        <w:keepLines/>
      </w:pPr>
      <w:bookmarkStart w:id="4" w:name="_Toc8549"/>
      <w:r>
        <w:t>1.2 产品愿景</w:t>
      </w:r>
      <w:bookmarkEnd w:id="4"/>
    </w:p>
    <w:p w14:paraId="7169AFD6">
      <w:pPr>
        <w:keepLines/>
        <w:pBdr>
          <w:left w:val="single" w:color="1D6F7A" w:sz="24" w:space="8"/>
        </w:pBdr>
        <w:shd w:val="clear" w:fill="E8F3F3"/>
        <w:spacing w:before="160" w:after="200" w:line="288" w:lineRule="auto"/>
        <w:ind w:left="259" w:right="173"/>
      </w:pPr>
      <w:r>
        <w:rPr>
          <w:rFonts w:ascii="黑体" w:hAnsi="黑体" w:eastAsia="黑体" w:cs="黑体"/>
          <w:b w:val="0"/>
          <w:color w:val="1D6F7A"/>
          <w:sz w:val="21"/>
          <w:lang w:eastAsia="zh-CN"/>
        </w:rPr>
        <w:t xml:space="preserve">产品愿景  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数据归一，认知可信，决策有据，执行可控。</w:t>
      </w:r>
    </w:p>
    <w:p w14:paraId="11EBDA7D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企业今天已经拥有大量系统和数据，但缺少一层把这些资产转化为持续经营能力的统一中枢。知行数枢的最终形态不是替代某一位员工或复制某一位领导，而是让整个企业拥有持续更新、能够分析、能够协同、能够推动工作的数字能力层。</w:t>
      </w:r>
    </w:p>
    <w:p w14:paraId="754ECC67">
      <w:pPr>
        <w:pStyle w:val="4"/>
        <w:keepNext/>
        <w:keepLines/>
      </w:pPr>
      <w:bookmarkStart w:id="5" w:name="_Toc6838"/>
      <w:r>
        <w:t>1.3 产品边界</w:t>
      </w:r>
      <w:bookmarkEnd w:id="5"/>
    </w:p>
    <w:p w14:paraId="4DEEB409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不建设影子 ERP：交易写入仍通过源系统正式接口完成，平台负责统一认知、分析和受控行动。</w:t>
      </w:r>
    </w:p>
    <w:p w14:paraId="2680F76A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不建设万能知识库：经营事实、正式知识、角色记忆和运行记录分别治理、按需组合。</w:t>
      </w:r>
    </w:p>
    <w:p w14:paraId="474965FF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不复制人的全部思维：角色分身只沉淀可审核的岗位规则、经验、风格和边界。</w:t>
      </w:r>
    </w:p>
    <w:p w14:paraId="43B4DCDC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不让模型决定权限和口径：身份、数据范围、指标定义、制度状态和行动审批均由确定性服务控制。</w:t>
      </w:r>
    </w:p>
    <w:p w14:paraId="0A92BFE7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不追求第一天无人值守：从读取、分析和草拟开始，按风险和业务信任逐级开放自动化。</w:t>
      </w:r>
    </w:p>
    <w:p w14:paraId="0A8CD7A3">
      <w:pPr>
        <w:pStyle w:val="3"/>
        <w:keepNext/>
        <w:keepLines/>
        <w:pageBreakBefore/>
      </w:pPr>
      <w:bookmarkStart w:id="6" w:name="_Toc2327"/>
      <w:r>
        <w:t>2. 客户问题与产品价值</w:t>
      </w:r>
      <w:bookmarkEnd w:id="6"/>
    </w:p>
    <w:p w14:paraId="6F269B9A">
      <w:pPr>
        <w:pStyle w:val="4"/>
        <w:keepNext/>
        <w:keepLines/>
      </w:pPr>
      <w:bookmarkStart w:id="7" w:name="_Toc15783"/>
      <w:r>
        <w:t>2.1 企业面临的共同问题</w:t>
      </w:r>
      <w:bookmarkEnd w:id="7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000"/>
        <w:gridCol w:w="4160"/>
      </w:tblGrid>
      <w:tr w14:paraId="1B50D3A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4AA8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企业现状</w:t>
            </w:r>
          </w:p>
        </w:tc>
        <w:tc>
          <w:tcPr>
            <w:tcW w:w="30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9996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经营影响</w:t>
            </w:r>
          </w:p>
        </w:tc>
        <w:tc>
          <w:tcPr>
            <w:tcW w:w="41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D9E7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知行数枢的回应</w:t>
            </w:r>
          </w:p>
        </w:tc>
      </w:tr>
      <w:tr w14:paraId="6FF5BC9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B061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数据分散在 ERP、CRM、店铺、广告、财务和物流系统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9AA64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报表口径冲突、取数慢、跨系统问题难解释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2BD76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统一来源、实体、规范事实、指标语义和血缘</w:t>
            </w:r>
          </w:p>
        </w:tc>
      </w:tr>
      <w:tr w14:paraId="711EAC80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8D48B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制度和 KPI 持续更新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A7348B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旧规则被重复引用，管理者反复解释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0801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原件、不可变版本、生效区间、发布与退役</w:t>
            </w:r>
          </w:p>
        </w:tc>
      </w:tr>
      <w:tr w14:paraId="63E5D3D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7CDB8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优秀经验沉淀在个人聊天和习惯中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DE9FE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人员变化后判断方式难传承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8A7A5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岗位模板、记忆候选、人工审核和版本化分身</w:t>
            </w:r>
          </w:p>
        </w:tc>
      </w:tr>
      <w:tr w14:paraId="0AE2465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A2B8E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会议参与者使用不同数据和假设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18D34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意见难对账，结论难复盘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8BA7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证据冻结、独立分析、交叉质询与决策包</w:t>
            </w:r>
          </w:p>
        </w:tc>
      </w:tr>
      <w:tr w14:paraId="0584C0C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20A0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AI 只生成文字，无法进入责任链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E406B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建议无法跟踪，执行风险不可控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C27E0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工具分级、行动提案、职责分离审批和工作台账</w:t>
            </w:r>
          </w:p>
        </w:tc>
      </w:tr>
    </w:tbl>
    <w:p w14:paraId="33FB211B">
      <w:pPr>
        <w:pStyle w:val="4"/>
        <w:keepNext/>
        <w:keepLines/>
      </w:pPr>
      <w:bookmarkStart w:id="8" w:name="_Toc13515"/>
      <w:r>
        <w:t>2.2 客户获得的核心价值</w:t>
      </w:r>
      <w:bookmarkEnd w:id="8"/>
    </w:p>
    <w:p w14:paraId="175C5A7F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统一企业经营认知：同一实体、同一指标、同一业务时点在驾驶舱、问数、会议和客服中保持一致。</w:t>
      </w:r>
    </w:p>
    <w:p w14:paraId="7F39C6AC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统一企业知识：制度、SOP、KPI 和 FAQ 可以按版本管理，回答能够定位到有效原文。</w:t>
      </w:r>
    </w:p>
    <w:p w14:paraId="5F7D62A6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复用组织经验：岗位资产与个人资产分离，经验可以审核、更新、停用和传承。</w:t>
      </w:r>
    </w:p>
    <w:p w14:paraId="7061835B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提升决策效率：从找数、问人和汇总升级为带证据的多角色分析与决策。</w:t>
      </w:r>
    </w:p>
    <w:p w14:paraId="3EF88464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形成执行闭环：AI 先发现、解释和草拟，人类确认后进入可审计的行动与工作流程。</w:t>
      </w:r>
    </w:p>
    <w:p w14:paraId="1B77635C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保留企业主导权：数据、契约、身份和行动台账归企业所有，模型和供应商能力可以替换。</w:t>
      </w:r>
    </w:p>
    <w:p w14:paraId="3387BC1A">
      <w:pPr>
        <w:pStyle w:val="3"/>
        <w:keepNext/>
        <w:keepLines/>
        <w:pageBreakBefore/>
      </w:pPr>
      <w:bookmarkStart w:id="9" w:name="_Toc5396"/>
      <w:r>
        <w:t>3. 产品能力全景</w:t>
      </w:r>
      <w:bookmarkEnd w:id="9"/>
    </w:p>
    <w:p w14:paraId="019D1F46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知行数枢采用“一个统一底座、六大智能中心、多种岗位体验”的产品结构。管理者分身是首个高感知应用，但长期价值来自所有中心共享同一套企业事实、身份权限、证据、工具和评测能力。</w:t>
      </w:r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1700"/>
        <w:gridCol w:w="2560"/>
      </w:tblGrid>
      <w:tr w14:paraId="0FBE19A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809F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产品中心</w:t>
            </w:r>
          </w:p>
        </w:tc>
        <w:tc>
          <w:tcPr>
            <w:tcW w:w="330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8C2C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核心能力</w:t>
            </w:r>
          </w:p>
        </w:tc>
        <w:tc>
          <w:tcPr>
            <w:tcW w:w="170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C3AB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典型使用者</w:t>
            </w:r>
          </w:p>
        </w:tc>
        <w:tc>
          <w:tcPr>
            <w:tcW w:w="256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89D7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客户价值</w:t>
            </w:r>
          </w:p>
        </w:tc>
      </w:tr>
      <w:tr w14:paraId="0B61C2B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0B393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企业数据中心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DD6E9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来源接入、规范事实、统一实体、指标、质量、客户 360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0242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CEO、数据团队、各部门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F5990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形成跨系统一致的经营事实和指标口径</w:t>
            </w:r>
          </w:p>
        </w:tc>
      </w:tr>
      <w:tr w14:paraId="7724679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91F67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企业知识中心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757B7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原件、制度版本、生效管理、切片、检索、引用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91AF9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全体员工、制度负责人</w:t>
            </w:r>
          </w:p>
        </w:tc>
        <w:tc>
          <w:tcPr>
            <w:tcW w:w="2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645F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让企业规则可检索、可定位、可审计</w:t>
            </w:r>
          </w:p>
        </w:tc>
      </w:tr>
      <w:tr w14:paraId="4FB930A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5E217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角色分身中心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BB2E9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岗位模板、个人分身、记忆审核、配置版本、试跑评测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C4D3B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管理者、专家、员工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7ABC4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把高频答疑和管理经验转化为岗位数字资产</w:t>
            </w:r>
          </w:p>
        </w:tc>
      </w:tr>
      <w:tr w14:paraId="5BA9BFE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AA31E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数字会议中心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494F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证据冻结、独立分析、质询、风险审查、决策包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8534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CEO、经营管理团队</w:t>
            </w:r>
          </w:p>
        </w:tc>
        <w:tc>
          <w:tcPr>
            <w:tcW w:w="2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3F9D4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围绕同一事实提高决策质量和复盘能力</w:t>
            </w:r>
          </w:p>
        </w:tc>
      </w:tr>
      <w:tr w14:paraId="2C9FA4F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F3945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智能分析中心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375CB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问数、异常诊断、简报、预警、自动巡店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7FD7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CEO、经理、运营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709B8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从展示结果升级为解释原因和提出受约束建议</w:t>
            </w:r>
          </w:p>
        </w:tc>
      </w:tr>
      <w:tr w14:paraId="433FEB89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58308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行动与执行中心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DD5FA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工具、草拟、审批、执行、工作承接、复盘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2D177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运营、客服、管理层</w:t>
            </w:r>
          </w:p>
        </w:tc>
        <w:tc>
          <w:tcPr>
            <w:tcW w:w="2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FDEF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把 AI 建议转化为可负责、可跟踪的业务动作</w:t>
            </w:r>
          </w:p>
        </w:tc>
      </w:tr>
    </w:tbl>
    <w:p w14:paraId="6005E7DB">
      <w:pPr>
        <w:pStyle w:val="4"/>
        <w:keepNext/>
        <w:keepLines/>
      </w:pPr>
      <w:bookmarkStart w:id="10" w:name="_Toc22151"/>
      <w:r>
        <w:t>3.1 多角色体验</w:t>
      </w:r>
      <w:bookmarkEnd w:id="10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900"/>
        <w:gridCol w:w="4860"/>
      </w:tblGrid>
      <w:tr w14:paraId="0902A2F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D94C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角色</w:t>
            </w:r>
          </w:p>
        </w:tc>
        <w:tc>
          <w:tcPr>
            <w:tcW w:w="2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F25A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默认工作视角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BFF5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高频任务</w:t>
            </w:r>
          </w:p>
        </w:tc>
      </w:tr>
      <w:tr w14:paraId="1634322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0844B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CEO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6A4A9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企业经营总览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8B168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查看异常、追问原因、发起会议、确认决策</w:t>
            </w:r>
          </w:p>
        </w:tc>
      </w:tr>
      <w:tr w14:paraId="43CB1DE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DA79A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部门经理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4A270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部门与门店工作台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B7F1B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经营诊断、团队审批、任务分配和复盘</w:t>
            </w:r>
          </w:p>
        </w:tc>
      </w:tr>
      <w:tr w14:paraId="7CEFEAF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9F788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员工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BFE30B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企业助手与我的工作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2D464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制度问答、岗位指导、领取工作、提交反馈</w:t>
            </w:r>
          </w:p>
        </w:tc>
      </w:tr>
      <w:tr w14:paraId="40740B4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52F50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平台管理员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92DC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平台运行控制面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8317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身份、数据源、工具、任务、Provider 和审计</w:t>
            </w:r>
          </w:p>
        </w:tc>
      </w:tr>
      <w:tr w14:paraId="525972C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8045F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客服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C2CEC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客服辅助工作台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9C537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读取订单和规则、生成草稿、风险核验和转人工</w:t>
            </w:r>
          </w:p>
        </w:tc>
      </w:tr>
    </w:tbl>
    <w:p w14:paraId="66CFAFE8">
      <w:pPr>
        <w:pStyle w:val="3"/>
        <w:keepNext/>
        <w:keepLines/>
        <w:pageBreakBefore/>
      </w:pPr>
      <w:bookmarkStart w:id="11" w:name="_Toc4342"/>
      <w:r>
        <w:t>4. 总体产品架构</w:t>
      </w:r>
      <w:bookmarkEnd w:id="11"/>
    </w:p>
    <w:p w14:paraId="278BC017">
      <w:pPr>
        <w:keepNext/>
        <w:keepLines/>
        <w:spacing w:before="120" w:after="80"/>
        <w:jc w:val="center"/>
      </w:pPr>
      <w:r>
        <w:drawing>
          <wp:inline distT="0" distB="0" distL="114300" distR="114300">
            <wp:extent cx="5806440" cy="3612515"/>
            <wp:effectExtent l="0" t="0" r="3810" b="6985"/>
            <wp:docPr id="2" name="Picture 2" descr="七层逻辑架构，身份和运行治理控制面贯穿所有层级" title="图 2  知行数枢总体产品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七层逻辑架构，身份和运行治理控制面贯穿所有层级" title="图 2  知行数枢总体产品架构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3836">
      <w:pPr>
        <w:keepLines/>
        <w:spacing w:before="0" w:after="160"/>
        <w:jc w:val="center"/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t>图 2  知行数枢总体产品架构</w:t>
      </w:r>
    </w:p>
    <w:p w14:paraId="5E0212A8">
      <w:pPr>
        <w:pStyle w:val="4"/>
        <w:keepNext/>
        <w:keepLines/>
      </w:pPr>
      <w:bookmarkStart w:id="12" w:name="_Toc13380"/>
      <w:r>
        <w:t>4.1 分层说明</w:t>
      </w:r>
      <w:bookmarkEnd w:id="12"/>
    </w:p>
    <w:p w14:paraId="045AA9C3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产品应用层：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以岗位工作为中心提供经营驾驶舱、企业助手、角色分身、数字会议、智能分析、客服和行动工作台。</w:t>
      </w:r>
    </w:p>
    <w:p w14:paraId="7801E836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智能体与编排层：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管理角色版本、上下文构建、模型运行、工具编排、评测和反馈，让不同应用共享同一运行规范。</w:t>
      </w:r>
    </w:p>
    <w:p w14:paraId="38174F50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企业工具与行动层：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把可调用能力分为查询、分析、草拟和执行，并统一行动提案、审批、幂等执行和结果复盘。</w:t>
      </w:r>
    </w:p>
    <w:p w14:paraId="3B18B301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语义与证据层：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提供统一实体、指标语义、制度引用、事实优先级和 EvidenceSnapshot，是 AI 可信使用企业资产的关键边界。</w:t>
      </w:r>
    </w:p>
    <w:p w14:paraId="3283A3B7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企业资产中枢：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分别管理经营事实、正式知识、角色记忆以及运行与行动记录，避免生命周期和可信度混淆。</w:t>
      </w:r>
    </w:p>
    <w:p w14:paraId="677A97D2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数据与内容接入层：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通过 Connector、API、CDC、文件和事件接入客户系统，并在版本化映射中隔离源字段。</w:t>
      </w:r>
    </w:p>
    <w:p w14:paraId="58DE221F">
      <w:pPr>
        <w:keepLines/>
        <w:jc w:val="both"/>
      </w:pPr>
      <w:r>
        <w:rPr>
          <w:rFonts w:ascii="黑体" w:hAnsi="黑体" w:eastAsia="黑体" w:cs="黑体"/>
          <w:b w:val="0"/>
          <w:color w:val="1E2933"/>
          <w:sz w:val="21"/>
          <w:lang w:eastAsia="zh-CN"/>
        </w:rPr>
        <w:t>企业现有系统：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保留 ERP、CRM、店铺、广告、财务、物流和协同工具的业务主系统地位。</w:t>
      </w:r>
    </w:p>
    <w:p w14:paraId="611350CD">
      <w:pPr>
        <w:pStyle w:val="4"/>
        <w:keepNext/>
        <w:keepLines/>
      </w:pPr>
      <w:bookmarkStart w:id="13" w:name="_Toc9656"/>
      <w:r>
        <w:t>4.2 两个贯穿式控制面</w:t>
      </w:r>
      <w:bookmarkEnd w:id="13"/>
    </w:p>
    <w:p w14:paraId="7CAFC2CD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身份与访问控制面贯穿 Web、渠道、API、智能体、MCP、Worker 和 Action，统一企业边界、主体、权限、数据范围、委托和授权审计。运行治理控制面统一管理版本、证据、request_id、run_id、模型用量、质量评测和故障诊断。</w:t>
      </w:r>
    </w:p>
    <w:p w14:paraId="6EA6B3E9">
      <w:pPr>
        <w:pStyle w:val="3"/>
        <w:keepNext/>
        <w:keepLines/>
      </w:pPr>
      <w:bookmarkStart w:id="14" w:name="_Toc1455"/>
      <w:r>
        <w:t>5. 企业资产与真值架构</w:t>
      </w:r>
      <w:bookmarkEnd w:id="14"/>
    </w:p>
    <w:p w14:paraId="5DD8DC70">
      <w:pPr>
        <w:keepNext/>
        <w:keepLines/>
        <w:spacing w:before="120" w:after="80"/>
        <w:jc w:val="center"/>
      </w:pPr>
      <w:r>
        <w:drawing>
          <wp:inline distT="0" distB="0" distL="114300" distR="114300">
            <wp:extent cx="5303520" cy="2740025"/>
            <wp:effectExtent l="0" t="0" r="11430" b="3175"/>
            <wp:docPr id="3" name="Picture 3" descr="经营事实、正式知识、角色记忆、运行与行动记录分别治理" title="图 3  四类企业资产与统一控制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经营事实、正式知识、角色记忆、运行与行动记录分别治理" title="图 3  四类企业资产与统一控制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BF06">
      <w:pPr>
        <w:keepLines/>
        <w:spacing w:before="0" w:after="160"/>
        <w:jc w:val="center"/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t>图 3  四类企业资产与统一控制面</w:t>
      </w:r>
    </w:p>
    <w:p w14:paraId="3134DEF4">
      <w:pPr>
        <w:pStyle w:val="4"/>
        <w:keepNext/>
        <w:keepLines/>
      </w:pPr>
      <w:bookmarkStart w:id="15" w:name="_Toc13697"/>
      <w:r>
        <w:t>5.1 为什么必须分开</w:t>
      </w:r>
      <w:bookmarkEnd w:id="15"/>
    </w:p>
    <w:p w14:paraId="122C2E62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四类资产的可信来源、更新频率、权限和失效方式完全不同。订单金额可以被源系统对账，制度需要负责人发布并按时点生效，角色记忆必须经过本人或负责人审核，运行记录则必须保持追加式历史。如果把它们混在同一个向量库或上下文表中，系统将无法回答“这条结论来自哪里、何时有效、由谁确认、为什么当时允许使用”。治理时必须坚持事实优先级：检索分数不能覆盖事实等级；旧聊天与当前制度冲突时，采用当前制度并明确说明原因。</w:t>
      </w:r>
    </w:p>
    <w:p w14:paraId="2A9DA3C9">
      <w:pPr>
        <w:pStyle w:val="4"/>
        <w:keepNext/>
        <w:keepLines/>
      </w:pPr>
      <w:bookmarkStart w:id="16" w:name="_Toc12506"/>
      <w:r>
        <w:t>5.2 事实优先级</w:t>
      </w:r>
      <w:bookmarkEnd w:id="16"/>
    </w:p>
    <w:p w14:paraId="1838FB93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当前生效制度</w:t>
      </w:r>
    </w:p>
    <w:p w14:paraId="5368866A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已确认经营事实与指标定义</w:t>
      </w:r>
    </w:p>
    <w:p w14:paraId="64B37CD0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已审核 FAQ 和正式决策案例</w:t>
      </w:r>
    </w:p>
    <w:p w14:paraId="67786A3E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已审核长期记忆</w:t>
      </w:r>
    </w:p>
    <w:p w14:paraId="31FD0E92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未审核历史聊天</w:t>
      </w:r>
    </w:p>
    <w:p w14:paraId="7AC6D60D">
      <w:pPr>
        <w:keepLines/>
        <w:numPr>
          <w:ilvl w:val="0"/>
          <w:numId w:val="8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模型一般知识</w:t>
      </w:r>
    </w:p>
    <w:p w14:paraId="55D295E5">
      <w:pPr>
        <w:pStyle w:val="3"/>
        <w:keepNext/>
        <w:keepLines/>
      </w:pPr>
      <w:bookmarkStart w:id="17" w:name="_Toc28819"/>
      <w:r>
        <w:t>6. 企业数据中心架构</w:t>
      </w:r>
      <w:bookmarkEnd w:id="17"/>
    </w:p>
    <w:p w14:paraId="5C18C452">
      <w:pPr>
        <w:pStyle w:val="4"/>
        <w:keepNext/>
        <w:keepLines/>
      </w:pPr>
      <w:bookmarkStart w:id="18" w:name="_Toc25998"/>
      <w:r>
        <w:t>6.1 数据链路</w:t>
      </w:r>
      <w:bookmarkEnd w:id="18"/>
    </w:p>
    <w:p w14:paraId="132F4D05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企业数据中心不要求客户替换现有系统，而是在现有系统之上建立统一经营事实。不同来源首先由独立连接器读取，原始响应完整保留；随后通过版本化映射转换为稳定实体和规范事实，再形成指标、质量结果和面向应用的查询服务。</w:t>
      </w:r>
    </w:p>
    <w:p w14:paraId="544A7A00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来源注册：明确系统类型、负责人、连接方式、同步策略和数据所有者。</w:t>
      </w:r>
    </w:p>
    <w:p w14:paraId="556143F3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原始保留：保存源记录、内容哈希、业务时间、同步批次和源 Schema 版本。</w:t>
      </w:r>
    </w:p>
    <w:p w14:paraId="75C72CEF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规范映射：把店铺、商品、SKU、客户、订单、退款、库存和广告数据转换为平台稳定契约。</w:t>
      </w:r>
    </w:p>
    <w:p w14:paraId="57D2A0D7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实体与范围：通过稳定内部 ID 连接外部业务键，并把企业/门店授权范围映射到客户来源键。</w:t>
      </w:r>
    </w:p>
    <w:p w14:paraId="36F892C3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指标语义：统一指标名称、公式、粒度、维度、负责人、版本和生效区间。</w:t>
      </w:r>
    </w:p>
    <w:p w14:paraId="67BB3910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质量与对账：识别缺失、延迟、冲突、范围不符和跨源字段差异。</w:t>
      </w:r>
    </w:p>
    <w:p w14:paraId="16C5623E">
      <w:pPr>
        <w:keepLines/>
        <w:numPr>
          <w:ilvl w:val="0"/>
          <w:numId w:val="9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数据服务：驾驶舱、分析、分身、数字会议、客服和 MCP 共享同一查询契约。</w:t>
      </w:r>
    </w:p>
    <w:p w14:paraId="343B1F7E">
      <w:pPr>
        <w:pStyle w:val="4"/>
        <w:keepNext/>
        <w:keepLines/>
      </w:pPr>
      <w:bookmarkStart w:id="19" w:name="_Toc19932"/>
      <w:r>
        <w:t>6.2 权威事实与数据边界</w:t>
      </w:r>
      <w:bookmarkEnd w:id="19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800"/>
        <w:gridCol w:w="4460"/>
      </w:tblGrid>
      <w:tr w14:paraId="497076F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6434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数据域</w:t>
            </w:r>
          </w:p>
        </w:tc>
        <w:tc>
          <w:tcPr>
            <w:tcW w:w="2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8B98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权威来源</w:t>
            </w:r>
          </w:p>
        </w:tc>
        <w:tc>
          <w:tcPr>
            <w:tcW w:w="44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F82F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平台治理重点</w:t>
            </w:r>
          </w:p>
        </w:tc>
      </w:tr>
      <w:tr w14:paraId="4414F69C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BEDFF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订单、订单行、退款、库存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1771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ERP / OMS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867B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金额、状态、成本、完整性和同步批次</w:t>
            </w:r>
          </w:p>
        </w:tc>
      </w:tr>
      <w:tr w14:paraId="7EF004B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8180D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客户主档与行为触点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0364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CRM / 会员系统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3DEC5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生命周期、渠道、同意、身份映射和触点时间</w:t>
            </w:r>
          </w:p>
        </w:tc>
      </w:tr>
      <w:tr w14:paraId="3554E75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57A62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广告与流量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4048E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广告平台 / 店铺平台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3EA7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归因口径、计划、花费、成交和 ROI</w:t>
            </w:r>
          </w:p>
        </w:tc>
      </w:tr>
      <w:tr w14:paraId="32B9B3B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F52D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制度、SOP 与 KPI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B66B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正式文档与知识负责人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97DFA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版本、生效区间、发布状态和原文定位</w:t>
            </w:r>
          </w:p>
        </w:tc>
      </w:tr>
      <w:tr w14:paraId="3F6A5FC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1C5B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人员、组织与权限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2B64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企业身份系统 / 平台 identity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5978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稳定主体、任职、访问角色和数据范围</w:t>
            </w:r>
          </w:p>
        </w:tc>
      </w:tr>
    </w:tbl>
    <w:p w14:paraId="02BCB484">
      <w:pPr>
        <w:pStyle w:val="4"/>
        <w:keepNext/>
        <w:keepLines/>
      </w:pPr>
      <w:bookmarkStart w:id="20" w:name="_Toc21537"/>
      <w:r>
        <w:t>6.3 为什么不建设影子 ERP</w:t>
      </w:r>
      <w:bookmarkEnd w:id="20"/>
    </w:p>
    <w:p w14:paraId="7D032413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复制的是分析所需事实和历史，不复制所有事务流程。强实时状态可以在授权后查询源系统；修改订单、预算、库存或客户状态仍通过源系统正式接口执行。这样既避免维护第二套业务状态，也让客户保留已有系统的合规、审批和责任链。</w:t>
      </w:r>
    </w:p>
    <w:p w14:paraId="41FDB2E2">
      <w:pPr>
        <w:pStyle w:val="3"/>
        <w:keepNext/>
        <w:keepLines/>
      </w:pPr>
      <w:bookmarkStart w:id="21" w:name="_Toc1271"/>
      <w:r>
        <w:t>7. 企业知识与角色记忆架构</w:t>
      </w:r>
      <w:bookmarkEnd w:id="21"/>
    </w:p>
    <w:p w14:paraId="3ED7135A">
      <w:pPr>
        <w:pStyle w:val="4"/>
        <w:keepNext/>
        <w:keepLines/>
      </w:pPr>
      <w:bookmarkStart w:id="22" w:name="_Toc25590"/>
      <w:r>
        <w:t>7.1 正式知识生命周期</w:t>
      </w:r>
      <w:bookmarkEnd w:id="22"/>
    </w:p>
    <w:p w14:paraId="014B0677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企业知识中心负责制度、SOP、KPI 说明、FAQ、会议材料和正式结论。每个知识对象保留原件、内容哈希、解析结果、章节切片、版本、审批状态、生效区间和引用定位。知识回答必须绑定具体版本，不能只给出一个无法追溯的相似文本。</w:t>
      </w:r>
    </w:p>
    <w:p w14:paraId="4BDFF9FA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导入原件并计算内容哈希，识别重复和变更。</w:t>
      </w:r>
    </w:p>
    <w:p w14:paraId="3A348577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解析结构和章节，生成带稳定定位的知识切片。</w:t>
      </w:r>
    </w:p>
    <w:p w14:paraId="07FE2D24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识别与现行规则、旧版本或其他文档的潜在冲突。</w:t>
      </w:r>
    </w:p>
    <w:p w14:paraId="0704D36A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由负责人审核并发布，按业务时间确定生效与退役。</w:t>
      </w:r>
    </w:p>
    <w:p w14:paraId="2CC6A866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检索时同时应用企业、知识空间、文档范围和时点过滤。</w:t>
      </w:r>
    </w:p>
    <w:p w14:paraId="3CB46794">
      <w:pPr>
        <w:keepLines/>
        <w:numPr>
          <w:ilvl w:val="0"/>
          <w:numId w:val="10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回答保存实际使用的版本、切片、摘录和引用标签。</w:t>
      </w:r>
    </w:p>
    <w:p w14:paraId="5894C4F5">
      <w:pPr>
        <w:pStyle w:val="4"/>
        <w:keepNext/>
        <w:keepLines/>
      </w:pPr>
      <w:bookmarkStart w:id="23" w:name="_Toc32034"/>
      <w:r>
        <w:t>7.2 角色记忆生命周期</w:t>
      </w:r>
      <w:bookmarkEnd w:id="23"/>
    </w:p>
    <w:p w14:paraId="7C7D8E45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聊天、历史案例和人工总结不能直接成为长期记忆。它们先形成 MemoryCandidate，记录来源、适用角色、类别、置信度和冲突；经负责人审核后才能激活。记忆可以影响分析视角和表达习惯，但不能修改订单事实、制度阈值、指标口径或调用者权限。</w:t>
      </w:r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30"/>
        <w:gridCol w:w="3830"/>
      </w:tblGrid>
      <w:tr w14:paraId="4CBCC70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2612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维度</w:t>
            </w:r>
          </w:p>
        </w:tc>
        <w:tc>
          <w:tcPr>
            <w:tcW w:w="3830" w:type="dxa"/>
            <w:shd w:val="clear" w:color="auto" w:fill="E8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9289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正式知识</w:t>
            </w:r>
          </w:p>
        </w:tc>
        <w:tc>
          <w:tcPr>
            <w:tcW w:w="3830" w:type="dxa"/>
            <w:shd w:val="clear" w:color="auto" w:fill="E8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F368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角色记忆</w:t>
            </w:r>
          </w:p>
        </w:tc>
      </w:tr>
      <w:tr w14:paraId="143AFA72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809CE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内容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850F6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制度、SOP、KPI、FAQ、正式结论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68C71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偏好、经验、案例、表达方式、反例</w:t>
            </w:r>
          </w:p>
        </w:tc>
      </w:tr>
      <w:tr w14:paraId="41B2D7F5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33AD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真值来源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2E814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文档原件与负责人发布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1B6CA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历史依据与人工审核</w:t>
            </w:r>
          </w:p>
        </w:tc>
      </w:tr>
      <w:tr w14:paraId="414CCD1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6379D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适用范围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320C7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企业、组织、知识空间或对象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CB1B6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岗位模板、具体角色或特定场景</w:t>
            </w:r>
          </w:p>
        </w:tc>
      </w:tr>
      <w:tr w14:paraId="2B70C5B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1A4C4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冲突处理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62A9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高于角色记忆和历史聊天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5415C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不得覆盖制度和经营事实</w:t>
            </w:r>
          </w:p>
        </w:tc>
      </w:tr>
      <w:tr w14:paraId="26EF096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0EFDD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供应商边界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1D654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检索 Provider 只保存索引副本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37E57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Memory Provider 只保存检索/评测副本</w:t>
            </w:r>
          </w:p>
        </w:tc>
      </w:tr>
    </w:tbl>
    <w:p w14:paraId="1C8FD898">
      <w:pPr>
        <w:pStyle w:val="3"/>
        <w:keepNext/>
        <w:keepLines/>
      </w:pPr>
      <w:bookmarkStart w:id="24" w:name="_Toc12057"/>
      <w:r>
        <w:t>8. 角色分身与智能体架构</w:t>
      </w:r>
      <w:bookmarkEnd w:id="24"/>
    </w:p>
    <w:p w14:paraId="71883048">
      <w:pPr>
        <w:pStyle w:val="4"/>
        <w:keepNext/>
        <w:keepLines/>
      </w:pPr>
      <w:bookmarkStart w:id="25" w:name="_Toc244"/>
      <w:r>
        <w:t>8.1 一个分身由什么组成</w:t>
      </w:r>
      <w:bookmarkEnd w:id="25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00"/>
        <w:gridCol w:w="3560"/>
      </w:tblGrid>
      <w:tr w14:paraId="0E759FB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1738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组成</w:t>
            </w:r>
          </w:p>
        </w:tc>
        <w:tc>
          <w:tcPr>
            <w:tcW w:w="40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7042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内容</w:t>
            </w:r>
          </w:p>
        </w:tc>
        <w:tc>
          <w:tcPr>
            <w:tcW w:w="35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E379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治理要求</w:t>
            </w:r>
          </w:p>
        </w:tc>
      </w:tr>
      <w:tr w14:paraId="7E7C49AC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DDF17B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企业共同规则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6B9E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当前制度、KPI、术语和正式业务规则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0A7AD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以发布版本和生效时间为准</w:t>
            </w:r>
          </w:p>
        </w:tc>
      </w:tr>
      <w:tr w14:paraId="70953C9D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7AD9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岗位资产</w:t>
            </w:r>
          </w:p>
        </w:tc>
        <w:tc>
          <w:tcPr>
            <w:tcW w:w="4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25CB6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职责、关注指标、决策边界、常用流程和禁止事项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2A7A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岗位模板独立版本化</w:t>
            </w:r>
          </w:p>
        </w:tc>
      </w:tr>
      <w:tr w14:paraId="071DB07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D226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个人资产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74E6E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已审核偏好、历史案例、表达方式和反例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75B44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候选审核后才能激活</w:t>
            </w:r>
          </w:p>
        </w:tc>
      </w:tr>
      <w:tr w14:paraId="232E7AAC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92319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当前上下文</w:t>
            </w:r>
          </w:p>
        </w:tc>
        <w:tc>
          <w:tcPr>
            <w:tcW w:w="4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A513C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提问者、议题、业务范围、实时数据和证据快照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E393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按调用者权限动态构建</w:t>
            </w:r>
          </w:p>
        </w:tc>
      </w:tr>
    </w:tbl>
    <w:p w14:paraId="6C5B2CE5">
      <w:pPr>
        <w:keepNext/>
        <w:keepLines/>
        <w:spacing w:before="120" w:after="80"/>
        <w:jc w:val="center"/>
      </w:pPr>
      <w:r>
        <w:drawing>
          <wp:inline distT="0" distB="0" distL="114300" distR="114300">
            <wp:extent cx="5806440" cy="2644775"/>
            <wp:effectExtent l="0" t="0" r="3810" b="3175"/>
            <wp:docPr id="4" name="Picture 4" descr="身份、分身版本、上下文、证据、模型工具和结果闭环" title="图 4  角色分身的受治理运行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身份、分身版本、上下文、证据、模型工具和结果闭环" title="图 4  角色分身的受治理运行链路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3A80">
      <w:pPr>
        <w:keepLines/>
        <w:spacing w:before="0" w:after="160"/>
        <w:jc w:val="center"/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t>图 4  角色分身的受治理运行链路</w:t>
      </w:r>
    </w:p>
    <w:p w14:paraId="23058B56">
      <w:pPr>
        <w:pStyle w:val="4"/>
        <w:keepNext/>
        <w:keepLines/>
      </w:pPr>
      <w:bookmarkStart w:id="26" w:name="_Toc29584"/>
      <w:r>
        <w:t>8.2 分身不是权限主体</w:t>
      </w:r>
      <w:bookmarkEnd w:id="26"/>
    </w:p>
    <w:p w14:paraId="334C8ECD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RoleTwin 定义职责、可用知识、能力边界和表达方式，不等于登录账号或 AccessRole。普通员工询问 CEO 分身时，只能使用员工原本有权读取的数据和知识。角色分身的工具白名单只会收窄能力，不会赋予额外权限。</w:t>
      </w:r>
    </w:p>
    <w:p w14:paraId="49C71403">
      <w:pPr>
        <w:pStyle w:val="4"/>
        <w:keepNext/>
        <w:keepLines/>
      </w:pPr>
      <w:bookmarkStart w:id="27" w:name="_Toc17638"/>
      <w:r>
        <w:t>8.3 运行时解耦</w:t>
      </w:r>
      <w:bookmarkEnd w:id="27"/>
    </w:p>
    <w:p w14:paraId="6AB60D34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角色、会议、证据和行动依赖企业自有 AgentRuntime、ModelProvider、KnowledgeProvider、MemoryProvider 和 ToolGateway 契约。模型、检索产品、记忆后端和智能体运行时位于适配器层，可以根据客户环境和评测结果替换，而不改变企业领域对象。</w:t>
      </w:r>
    </w:p>
    <w:p w14:paraId="285E1603">
      <w:pPr>
        <w:pStyle w:val="3"/>
        <w:keepNext/>
        <w:keepLines/>
      </w:pPr>
      <w:bookmarkStart w:id="28" w:name="_Toc28757"/>
      <w:r>
        <w:t>9. 语义、证据与 AI 质量架构</w:t>
      </w:r>
      <w:bookmarkEnd w:id="28"/>
    </w:p>
    <w:p w14:paraId="584AF2E3">
      <w:pPr>
        <w:pStyle w:val="4"/>
        <w:keepNext/>
        <w:keepLines/>
      </w:pPr>
      <w:bookmarkStart w:id="29" w:name="_Toc32481"/>
      <w:r>
        <w:t>9.1 EvidenceSnapshot 的作用</w:t>
      </w:r>
      <w:bookmarkEnd w:id="29"/>
    </w:p>
    <w:p w14:paraId="3D217286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EvidenceSnapshot 固定一次回答、分析、会议或动作实际使用的数据、制度、指标和记忆版本。直接在每次查看时重新查询“最新数据”会让历史结论无法复现；证据快照使企业能够回答：当时用了什么数据、数据截至何时、适用了哪个制度、调用者有什么权限、模型为什么给出这个判断。</w:t>
      </w:r>
    </w:p>
    <w:p w14:paraId="61D28AB6">
      <w:pPr>
        <w:pStyle w:val="4"/>
        <w:keepNext/>
        <w:keepLines/>
      </w:pPr>
      <w:bookmarkStart w:id="30" w:name="_Toc4896"/>
      <w:r>
        <w:t>9.2 AI 输出结构</w:t>
      </w:r>
      <w:bookmarkEnd w:id="30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400"/>
        <w:gridCol w:w="4460"/>
      </w:tblGrid>
      <w:tr w14:paraId="2338752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7D9D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输出区</w:t>
            </w:r>
          </w:p>
        </w:tc>
        <w:tc>
          <w:tcPr>
            <w:tcW w:w="3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9C42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含义</w:t>
            </w:r>
          </w:p>
        </w:tc>
        <w:tc>
          <w:tcPr>
            <w:tcW w:w="44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50E7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约束</w:t>
            </w:r>
          </w:p>
        </w:tc>
      </w:tr>
      <w:tr w14:paraId="188C3210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EF34A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事实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68F02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证据中直接存在的数值、状态和原文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D996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必须引用本次证据，数字和日期可核验</w:t>
            </w:r>
          </w:p>
        </w:tc>
      </w:tr>
      <w:tr w14:paraId="5390D6B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37D69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推断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B8AE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基于事实形成的原因解释或关系判断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1CE1D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明确假设和不确定性，不伪装成事实</w:t>
            </w:r>
          </w:p>
        </w:tc>
      </w:tr>
      <w:tr w14:paraId="537AF17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2E43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风险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1926E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失败机制、错误激励、反事实和证据缺口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EF66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高风险结论需要人工复核或转交</w:t>
            </w:r>
          </w:p>
        </w:tc>
      </w:tr>
      <w:tr w14:paraId="19FFF8E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B9EC2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建议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4218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下一步分析、试验、会议或内部行动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0152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必须符合角色、权限和工具边界</w:t>
            </w:r>
          </w:p>
        </w:tc>
      </w:tr>
      <w:tr w14:paraId="29ADA3E9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4C07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未知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2567E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资料不足、口径缺失或范围不可见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8D388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明确缺口，禁止模型补值</w:t>
            </w:r>
          </w:p>
        </w:tc>
      </w:tr>
    </w:tbl>
    <w:p w14:paraId="288E07BF">
      <w:pPr>
        <w:pStyle w:val="4"/>
        <w:keepNext/>
        <w:keepLines/>
      </w:pPr>
      <w:bookmarkStart w:id="31" w:name="_Toc32620"/>
      <w:r>
        <w:t>9.3 质量闭环</w:t>
      </w:r>
      <w:bookmarkEnd w:id="31"/>
    </w:p>
    <w:p w14:paraId="291195AA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结构化输出校验：检查 Schema、必填字段、引用标签和枚举边界。</w:t>
      </w:r>
    </w:p>
    <w:p w14:paraId="75751011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证据校验：所有引用必须属于本次 EvidenceSnapshot。</w:t>
      </w:r>
    </w:p>
    <w:p w14:paraId="0C149F9A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数字校验：模型输出中的关键数字和日期必须能在证据中找到。</w:t>
      </w:r>
    </w:p>
    <w:p w14:paraId="4F8E49BE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确定性降级：模型超时、结构错误或引用越界时返回证据化降级结果。</w:t>
      </w:r>
    </w:p>
    <w:p w14:paraId="2CB1B933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人工反馈：有帮助、事实不准确、回答不完整、风险建议和人工接管分别记录。</w:t>
      </w:r>
    </w:p>
    <w:p w14:paraId="576CDD25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评测回归：人工纠错先进入待审核候选，接纳后形成不可变评测案例新版本。</w:t>
      </w:r>
    </w:p>
    <w:p w14:paraId="0007EB1F">
      <w:pPr>
        <w:pStyle w:val="3"/>
        <w:keepNext/>
        <w:keepLines/>
      </w:pPr>
      <w:bookmarkStart w:id="32" w:name="_Toc17757"/>
      <w:r>
        <w:t>10. 数字会议与智能分析架构</w:t>
      </w:r>
      <w:bookmarkEnd w:id="32"/>
    </w:p>
    <w:p w14:paraId="0CA1E0A1">
      <w:pPr>
        <w:pStyle w:val="4"/>
        <w:keepNext/>
        <w:keepLines/>
      </w:pPr>
      <w:bookmarkStart w:id="33" w:name="_Toc313"/>
      <w:r>
        <w:t>10.1 数字会议协议</w:t>
      </w:r>
      <w:bookmarkEnd w:id="33"/>
    </w:p>
    <w:p w14:paraId="133FC4D9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数字会议不是把多个模型回答拼在一起，而是让 3-6 个已发布角色分身围绕同一证据快照执行结构化审议。角色先独立分析，降低从众和迎合；随后交叉质询、回应立场、进行反方风险审查，最后由主持角色汇总共识、分歧、未知项和行动建议，并由人类负责人确认。</w:t>
      </w:r>
    </w:p>
    <w:p w14:paraId="3B8BE6E7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登记议题、负责人、范围、成功指标和复盘日期。</w:t>
      </w:r>
    </w:p>
    <w:p w14:paraId="7E541960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冻结数据、指标、制度、记忆和参会分身版本。</w:t>
      </w:r>
    </w:p>
    <w:p w14:paraId="74F5AF70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各角色独立分析，首次观点彼此不可见。</w:t>
      </w:r>
    </w:p>
    <w:p w14:paraId="55B14913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进行交叉质询和回应，明确哪些证据改变了立场。</w:t>
      </w:r>
    </w:p>
    <w:p w14:paraId="6FB6B75F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反方检查失败机制、错误激励、反事实和退出条件。</w:t>
      </w:r>
    </w:p>
    <w:p w14:paraId="4EBC24CE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主持汇总共识、分歧、风险、未知项和建议。</w:t>
      </w:r>
    </w:p>
    <w:p w14:paraId="7EFE0E64">
      <w:pPr>
        <w:keepLines/>
        <w:numPr>
          <w:ilvl w:val="0"/>
          <w:numId w:val="11"/>
        </w:numPr>
        <w:tabs>
          <w:tab w:val="left" w:pos="720"/>
        </w:tabs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人类负责人确认决策包，必要时生成受治理行动提案。</w:t>
      </w:r>
    </w:p>
    <w:p w14:paraId="0F444E57">
      <w:pPr>
        <w:pStyle w:val="4"/>
        <w:keepNext/>
        <w:keepLines/>
      </w:pPr>
      <w:bookmarkStart w:id="34" w:name="_Toc23050"/>
      <w:r>
        <w:t>10.2 经营分析</w:t>
      </w:r>
      <w:bookmarkEnd w:id="34"/>
    </w:p>
    <w:p w14:paraId="6FEAAE68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智能分析中心使用统一指标查询和规范经营事实，不让模型直接访问业务库或根据页面样例自由生成数值。分析先冻结事实，再输出事实、推断、风险、建议和未知项；同一业务日的有效分析可以形成版本化简报，支持比较和复盘。</w:t>
      </w:r>
    </w:p>
    <w:p w14:paraId="0A395C43">
      <w:pPr>
        <w:keepNext/>
        <w:keepLines/>
        <w:spacing w:before="120" w:after="80"/>
        <w:jc w:val="center"/>
      </w:pPr>
      <w:r>
        <w:drawing>
          <wp:inline distT="0" distB="0" distL="114300" distR="114300">
            <wp:extent cx="5120640" cy="2332355"/>
            <wp:effectExtent l="0" t="0" r="3810" b="10795"/>
            <wp:docPr id="5" name="Picture 5" descr="异常、诊断、会议、确认、审批和执行复盘的完整链路" title="图 5  从经营异常到受控行动的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异常、诊断、会议、确认、审批和执行复盘的完整链路" title="图 5  从经营异常到受控行动的闭环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057A">
      <w:pPr>
        <w:keepLines/>
        <w:spacing w:before="0" w:after="160"/>
        <w:jc w:val="center"/>
      </w:pPr>
      <w:r>
        <w:rPr>
          <w:rFonts w:ascii="微软雅黑" w:hAnsi="微软雅黑" w:eastAsia="微软雅黑" w:cs="微软雅黑"/>
          <w:color w:val="65727E"/>
          <w:sz w:val="18"/>
          <w:lang w:eastAsia="zh-CN"/>
        </w:rPr>
        <w:t>图 5  从经营异常到受控行动的闭环</w:t>
      </w:r>
    </w:p>
    <w:p w14:paraId="518BD215">
      <w:pPr>
        <w:pStyle w:val="3"/>
        <w:keepNext/>
        <w:keepLines/>
      </w:pPr>
      <w:bookmarkStart w:id="35" w:name="_Toc18969"/>
      <w:r>
        <w:t>11. 行动与执行架构</w:t>
      </w:r>
      <w:bookmarkEnd w:id="35"/>
    </w:p>
    <w:p w14:paraId="55508191">
      <w:pPr>
        <w:pStyle w:val="4"/>
        <w:keepNext/>
        <w:keepLines/>
      </w:pPr>
      <w:bookmarkStart w:id="36" w:name="_Toc27474"/>
      <w:r>
        <w:t>11.1 工具风险分级</w:t>
      </w:r>
      <w:bookmarkEnd w:id="36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400"/>
        <w:gridCol w:w="2600"/>
        <w:gridCol w:w="3260"/>
      </w:tblGrid>
      <w:tr w14:paraId="46226CA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F8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39E4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等级</w:t>
            </w:r>
          </w:p>
        </w:tc>
        <w:tc>
          <w:tcPr>
            <w:tcW w:w="2400" w:type="dxa"/>
            <w:shd w:val="clear" w:color="auto" w:fill="F8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B7A0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能力</w:t>
            </w:r>
          </w:p>
        </w:tc>
        <w:tc>
          <w:tcPr>
            <w:tcW w:w="2600" w:type="dxa"/>
            <w:shd w:val="clear" w:color="auto" w:fill="F8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D166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典型示例</w:t>
            </w:r>
          </w:p>
        </w:tc>
        <w:tc>
          <w:tcPr>
            <w:tcW w:w="3260" w:type="dxa"/>
            <w:shd w:val="clear" w:color="auto" w:fill="F8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CBAA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治理要求</w:t>
            </w:r>
          </w:p>
        </w:tc>
      </w:tr>
      <w:tr w14:paraId="48A836AF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4CFC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R0 查询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072AD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只读取事实和知识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4A59A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读制度、查指标、客户 360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A5A1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范围授权、只读审计</w:t>
            </w:r>
          </w:p>
        </w:tc>
      </w:tr>
      <w:tr w14:paraId="1B5E9519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70E74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R1 分析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BA8D0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生成分析和建议，不改变外部状态</w:t>
            </w:r>
          </w:p>
        </w:tc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0C141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店铺诊断、经营简报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E16EB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证据快照、结果评测</w:t>
            </w:r>
          </w:p>
        </w:tc>
      </w:tr>
      <w:tr w14:paraId="3A0FF4C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2E8E0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R2 草拟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21930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创建内部草稿或计划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F6C2F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客服回复草稿、任务草稿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EEC5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人工确认、幂等和版本</w:t>
            </w:r>
          </w:p>
        </w:tc>
      </w:tr>
      <w:tr w14:paraId="5C8B3A3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597C5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R3 执行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8C89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改变外部系统状态</w:t>
            </w:r>
          </w:p>
        </w:tc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3788A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发消息、改预算、写 CRM/ERP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5D9A5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行动审批、职责分离、回读、补偿和停机</w:t>
            </w:r>
          </w:p>
        </w:tc>
      </w:tr>
    </w:tbl>
    <w:p w14:paraId="17F50105">
      <w:pPr>
        <w:pStyle w:val="4"/>
        <w:keepNext/>
        <w:keepLines/>
      </w:pPr>
      <w:bookmarkStart w:id="37" w:name="_Toc20649"/>
      <w:r>
        <w:t>11.2 受控行动状态</w:t>
      </w:r>
      <w:bookmarkEnd w:id="37"/>
    </w:p>
    <w:p w14:paraId="0E731FFA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行动领域区分“提出什么”“谁批准”“由谁执行”和“结果如何”。会议、经营分析、客户运营和客服都可以形成 ActionProposal，但只有行动中心拥有审批、执行和工作状态真值。</w:t>
      </w:r>
    </w:p>
    <w:p w14:paraId="4616B974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ActionProposal：保存来源、目标、参数、证据、范围、风险、KPI 和停止条件。</w:t>
      </w:r>
    </w:p>
    <w:p w14:paraId="2512F6E3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ApprovalEvent：保存不可变审批结论，支持职责分离和影响预览。</w:t>
      </w:r>
    </w:p>
    <w:p w14:paraId="6DCEA012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ActionExecution：保存幂等键、执行主体、目标系统、结果、失败和补偿信息。</w:t>
      </w:r>
    </w:p>
    <w:p w14:paraId="6D84557C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ActionWorkItem：把批准后的内部工作交给员工领取、推进、阻塞、完成、释放或重开。</w:t>
      </w:r>
    </w:p>
    <w:p w14:paraId="41D91582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ActionWorkEvent：追加记录每次状态变化和结果证据，使责任链可以重建。</w:t>
      </w:r>
    </w:p>
    <w:p w14:paraId="59CEB473">
      <w:pPr>
        <w:keepLines/>
        <w:pBdr>
          <w:left w:val="single" w:color="3B7A57" w:sz="24" w:space="8"/>
        </w:pBdr>
        <w:shd w:val="clear" w:fill="EAF3ED"/>
        <w:spacing w:before="160" w:after="200" w:line="288" w:lineRule="auto"/>
        <w:ind w:left="259" w:right="173"/>
      </w:pPr>
      <w:r>
        <w:rPr>
          <w:rFonts w:ascii="黑体" w:hAnsi="黑体" w:eastAsia="黑体" w:cs="黑体"/>
          <w:b w:val="0"/>
          <w:color w:val="3B7A57"/>
          <w:sz w:val="21"/>
          <w:lang w:eastAsia="zh-CN"/>
        </w:rPr>
        <w:t xml:space="preserve">责任原则  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AI 可以发现问题、组织证据和草拟方案；人类负责人保留高风险决策与审批责任。自动化等级随数据质量、评测结果、灰度范围和恢复能力逐级提升。</w:t>
      </w:r>
    </w:p>
    <w:p w14:paraId="76AFB45C">
      <w:pPr>
        <w:pStyle w:val="3"/>
        <w:keepNext/>
        <w:keepLines/>
        <w:pageBreakBefore/>
      </w:pPr>
      <w:bookmarkStart w:id="38" w:name="_Toc11798"/>
      <w:r>
        <w:t>12. 身份、安全与审计架构</w:t>
      </w:r>
      <w:bookmarkEnd w:id="38"/>
    </w:p>
    <w:p w14:paraId="48F9B132">
      <w:pPr>
        <w:pStyle w:val="4"/>
        <w:keepNext/>
        <w:keepLines/>
      </w:pPr>
      <w:bookmarkStart w:id="39" w:name="_Toc29737"/>
      <w:r>
        <w:t>12.1 身份概念分离</w:t>
      </w:r>
      <w:bookmarkEnd w:id="39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900"/>
        <w:gridCol w:w="3260"/>
      </w:tblGrid>
      <w:tr w14:paraId="26BAF51B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EC05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概念</w:t>
            </w:r>
          </w:p>
        </w:tc>
        <w:tc>
          <w:tcPr>
            <w:tcW w:w="3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06F8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表达什么</w:t>
            </w:r>
          </w:p>
        </w:tc>
        <w:tc>
          <w:tcPr>
            <w:tcW w:w="3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3182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不代表什么</w:t>
            </w:r>
          </w:p>
        </w:tc>
      </w:tr>
      <w:tr w14:paraId="02E13FC3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27E7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Principal / User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EE2E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可被认证、授权和审计的人员或服务主体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3F0AC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组织岗位、全部权限</w:t>
            </w:r>
          </w:p>
        </w:tc>
      </w:tr>
      <w:tr w14:paraId="3E47D22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3F5F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OrgUnit / Position / Membership</w:t>
            </w:r>
          </w:p>
        </w:tc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882E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组织、岗位和人员任职关系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F02BA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自动获得所有数据权限</w:t>
            </w:r>
          </w:p>
        </w:tc>
      </w:tr>
      <w:tr w14:paraId="675EBA2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788F5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AccessRole / Permission / ScopeGrant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3356A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资源动作权限及企业、组织、门店、知识空间或对象范围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76203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岗位职责和管理风格</w:t>
            </w:r>
          </w:p>
        </w:tc>
      </w:tr>
      <w:tr w14:paraId="1D2805A9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AB839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RoleTemplate / RoleTwin</w:t>
            </w:r>
          </w:p>
        </w:tc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E8AA9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岗位知识、个人经验、表达和能力边界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2C97B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登录账号或访问角色</w:t>
            </w:r>
          </w:p>
        </w:tc>
      </w:tr>
      <w:tr w14:paraId="6171F835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59A4A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ChannelIdentity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42843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外部渠道身份与内部主体的显式映射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F2317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通过姓名猜测的用户身份</w:t>
            </w:r>
          </w:p>
        </w:tc>
      </w:tr>
    </w:tbl>
    <w:p w14:paraId="4A85B6C4">
      <w:pPr>
        <w:pStyle w:val="4"/>
        <w:keepNext/>
        <w:keepLines/>
      </w:pPr>
      <w:bookmarkStart w:id="40" w:name="_Toc13008"/>
      <w:r>
        <w:t>12.2 统一 ActorContext</w:t>
      </w:r>
      <w:bookmarkEnd w:id="40"/>
    </w:p>
    <w:p w14:paraId="5C00009C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认证完成后，平台在可信边界创建 ActorContext，至少包含 enterprise_id、实际主体、代办主体、身份来源、任职、角色、权限、数据范围、策略版本、request_id 和 run_id。客户端不能自行声明人员、部门、访问角色或数据范围。</w:t>
      </w:r>
    </w:p>
    <w:p w14:paraId="7B6B7125">
      <w:pPr>
        <w:keepLines/>
        <w:pBdr>
          <w:left w:val="single" w:color="173F5F" w:sz="24" w:space="8"/>
        </w:pBdr>
        <w:shd w:val="clear" w:fill="EAF1F6"/>
        <w:spacing w:before="160" w:after="200" w:line="288" w:lineRule="auto"/>
        <w:ind w:left="259" w:right="173"/>
      </w:pPr>
      <w:r>
        <w:rPr>
          <w:rFonts w:ascii="黑体" w:hAnsi="黑体" w:eastAsia="黑体" w:cs="黑体"/>
          <w:b w:val="0"/>
          <w:color w:val="173F5F"/>
          <w:sz w:val="21"/>
          <w:lang w:eastAsia="zh-CN"/>
        </w:rPr>
        <w:t xml:space="preserve">有效能力公式  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调用者权限 ∩ RoleTwin 能力边界 ∩ 渠道能力 ∩ MCP 会话上限 ∩ 工具风险与行动规则。</w:t>
      </w:r>
    </w:p>
    <w:p w14:paraId="04F65D94">
      <w:pPr>
        <w:pStyle w:val="4"/>
        <w:keepNext/>
        <w:keepLines/>
      </w:pPr>
      <w:bookmarkStart w:id="41" w:name="_Toc102"/>
      <w:r>
        <w:t>12.3 全入口一致授权</w:t>
      </w:r>
      <w:bookmarkEnd w:id="41"/>
    </w:p>
    <w:p w14:paraId="6CC720AB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Web 与 API：菜单和按钮只是权限投影，服务端路由和领域查询再次授权。</w:t>
      </w:r>
    </w:p>
    <w:p w14:paraId="20843CC5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渠道：先验证签名和租户，再把外部身份映射为内部主体；未知身份进入绑定或人工处理。</w:t>
      </w:r>
    </w:p>
    <w:p w14:paraId="353D9159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Agent 与 RoleTwin：上下文构建只读取调用者范围内的事实、知识和记忆。</w:t>
      </w:r>
    </w:p>
    <w:p w14:paraId="06A4A69C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MCP：工具输入不接受任意 principal_id，每次调用重新检查当前权限与范围。</w:t>
      </w:r>
    </w:p>
    <w:p w14:paraId="688907F4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Worker：入队保存发起快照，执行前按当前账号、权限和范围重新授权。</w:t>
      </w:r>
    </w:p>
    <w:p w14:paraId="4F7C8263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Action：审批人与提案人分离，写操作校验幂等、版本和目标范围。</w:t>
      </w:r>
    </w:p>
    <w:p w14:paraId="77E30CDB">
      <w:pPr>
        <w:pStyle w:val="4"/>
        <w:keepNext/>
        <w:keepLines/>
      </w:pPr>
      <w:bookmarkStart w:id="42" w:name="_Toc1648"/>
      <w:r>
        <w:t>12.4 审计与隐私</w:t>
      </w:r>
      <w:bookmarkEnd w:id="42"/>
    </w:p>
    <w:p w14:paraId="44431398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授权决策、身份变更、工具调用、后台任务、AgentRun、会议、行动和工作事件分别保存领域真值，再通过统一审计视图关联 request_id、run_id 和 agent_run_id。日志和审计响应不记录密码、API Key、Cookie、Bearer Token、外部身份原文、Prompt 全文或客户原始记录。</w:t>
      </w:r>
    </w:p>
    <w:p w14:paraId="1552D645">
      <w:pPr>
        <w:pStyle w:val="3"/>
        <w:keepNext/>
        <w:keepLines/>
      </w:pPr>
      <w:bookmarkStart w:id="43" w:name="_Toc17824"/>
      <w:r>
        <w:t>13. 开放与集成架构</w:t>
      </w:r>
      <w:bookmarkEnd w:id="43"/>
    </w:p>
    <w:p w14:paraId="2BA0E802">
      <w:pPr>
        <w:pStyle w:val="4"/>
        <w:keepNext/>
        <w:keepLines/>
      </w:pPr>
      <w:bookmarkStart w:id="44" w:name="_Toc31512"/>
      <w:r>
        <w:t>13.1 可插拔能力</w:t>
      </w:r>
      <w:bookmarkEnd w:id="44"/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00"/>
        <w:gridCol w:w="4060"/>
      </w:tblGrid>
      <w:tr w14:paraId="37AA489F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19B9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能力</w:t>
            </w:r>
          </w:p>
        </w:tc>
        <w:tc>
          <w:tcPr>
            <w:tcW w:w="35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BB0A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平台边界</w:t>
            </w:r>
          </w:p>
        </w:tc>
        <w:tc>
          <w:tcPr>
            <w:tcW w:w="40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C904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可替换实现</w:t>
            </w:r>
          </w:p>
        </w:tc>
      </w:tr>
      <w:tr w14:paraId="0CD2C9B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9AFD2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知识检索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A71B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KnowledgeProvider + 稳定文档/切片引用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8305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WeKnora、RAGFlow、OpenViking 或企业现有服务</w:t>
            </w:r>
          </w:p>
        </w:tc>
      </w:tr>
      <w:tr w14:paraId="5ED5927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3540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长期记忆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1B447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MemoryProvider + 平台审核真值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865A4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TencentDB Agent Memory、Mem0 或自有检索</w:t>
            </w:r>
          </w:p>
        </w:tc>
      </w:tr>
      <w:tr w14:paraId="44D768DD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87997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指标语义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BFC91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MetricService + 指标定义和范围查询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BECEF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最小语义服务、MetricFlow 或专用分析引擎</w:t>
            </w:r>
          </w:p>
        </w:tc>
      </w:tr>
      <w:tr w14:paraId="332B4B1F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C0819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模型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D12A9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ModelProvider + 结构化输出和用量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54D65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公有云、私有兼容模型、本地模型</w:t>
            </w:r>
          </w:p>
        </w:tc>
      </w:tr>
      <w:tr w14:paraId="6356C76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D5974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智能体运行时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4113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AgentRuntime + AgentRun 事件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06A3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Codex、Agents SDK 或企业自有运行时</w:t>
            </w:r>
          </w:p>
        </w:tc>
      </w:tr>
      <w:tr w14:paraId="2B67CA6F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D869F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工具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6DCE0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 MCP 网关 + 内部应用服务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4DDD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Codex 或其他 MCP Host</w:t>
            </w:r>
          </w:p>
        </w:tc>
      </w:tr>
      <w:tr w14:paraId="1EAF69B7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8B661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工作流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ACC47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任务/Workflow 接口 + 领域状态机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91B09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PostgreSQL Worker、Temporal 或企业调度平台</w:t>
            </w:r>
          </w:p>
        </w:tc>
      </w:tr>
    </w:tbl>
    <w:p w14:paraId="4EE0EE4F">
      <w:pPr>
        <w:pStyle w:val="4"/>
        <w:keepNext/>
        <w:keepLines/>
      </w:pPr>
      <w:bookmarkStart w:id="45" w:name="_Toc3268"/>
      <w:r>
        <w:t>13.2 为什么坚持企业自有契约</w:t>
      </w:r>
      <w:bookmarkEnd w:id="45"/>
    </w:p>
    <w:p w14:paraId="06DDE691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供应商的内部 ID、表结构和私有 API 会随版本变化，也可能与客户部署策略不匹配。平台先用自有契约表达企业能力，再用 Adapter 接入开源组件、云服务或本地系统。这样可以保留数据主权，降低替换成本，并让角色、会议、证据和行动不依赖某个单一产品。</w:t>
      </w:r>
    </w:p>
    <w:p w14:paraId="38E3DA4D">
      <w:pPr>
        <w:pStyle w:val="4"/>
        <w:keepNext/>
        <w:keepLines/>
      </w:pPr>
      <w:bookmarkStart w:id="46" w:name="_Toc24563"/>
      <w:r>
        <w:t>13.3 私有化部署</w:t>
      </w:r>
      <w:bookmarkEnd w:id="46"/>
    </w:p>
    <w:p w14:paraId="2D5EF61B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产品支持部署在客户网络和数据边界内。典型部署包含 Web、API、Worker、关系数据库、S3 兼容对象存储、企业身份提供者、可替换模型/知识/记忆 Provider 和可观测平台。核心数据、知识、权限、证据和行动台账均保留 enterprise_id，并可以按客户安全要求选择完全内网或受控出域。</w:t>
      </w:r>
    </w:p>
    <w:p w14:paraId="72F06C82">
      <w:pPr>
        <w:pStyle w:val="3"/>
        <w:keepNext/>
        <w:keepLines/>
      </w:pPr>
      <w:bookmarkStart w:id="47" w:name="_Toc12931"/>
      <w:r>
        <w:t>14. 产品架构优势</w:t>
      </w:r>
      <w:bookmarkEnd w:id="47"/>
    </w:p>
    <w:p w14:paraId="1926AAE9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知行数枢的竞争力不是单个模型效果，而是把企业事实、组织认知和受控行动组织成一套可以长期运营的系统能力。</w:t>
      </w:r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80"/>
        <w:gridCol w:w="3280"/>
      </w:tblGrid>
      <w:tr w14:paraId="440EA23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A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1B6D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架构优势</w:t>
            </w:r>
          </w:p>
        </w:tc>
        <w:tc>
          <w:tcPr>
            <w:tcW w:w="3980" w:type="dxa"/>
            <w:shd w:val="clear" w:color="auto" w:fill="EA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6BF9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为什么重要</w:t>
            </w:r>
          </w:p>
        </w:tc>
        <w:tc>
          <w:tcPr>
            <w:tcW w:w="3280" w:type="dxa"/>
            <w:shd w:val="clear" w:color="auto" w:fill="EA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3F8F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客户收益</w:t>
            </w:r>
          </w:p>
        </w:tc>
      </w:tr>
      <w:tr w14:paraId="3E320DDA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AF9D1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事实优先，而非模型优先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09715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结构化经营回答经过统一指标与事实契约，缺少依据时明确未知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0032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减少幻觉和口径争议，让 AI 能进入经营分析</w:t>
            </w:r>
          </w:p>
        </w:tc>
      </w:tr>
      <w:tr w14:paraId="1451B805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C5CE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四类真值分离</w:t>
            </w:r>
          </w:p>
        </w:tc>
        <w:tc>
          <w:tcPr>
            <w:tcW w:w="3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19995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经营事实、知识、记忆和运行记录各有生命周期与优先级</w:t>
            </w:r>
          </w:p>
        </w:tc>
        <w:tc>
          <w:tcPr>
            <w:tcW w:w="32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9043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冲突可解释，资产可治理，历史可追溯</w:t>
            </w:r>
          </w:p>
        </w:tc>
      </w:tr>
      <w:tr w14:paraId="4A2CEEF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C70D4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证据快照与不可变版本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B9CF3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固定每次判断实际使用的版本、时点、来源和权限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B1BB3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结论可回放、可比较、可用于审计和争议处理</w:t>
            </w:r>
          </w:p>
        </w:tc>
      </w:tr>
      <w:tr w14:paraId="23FD4934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98B456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岗位资产与个人资产分离</w:t>
            </w:r>
          </w:p>
        </w:tc>
        <w:tc>
          <w:tcPr>
            <w:tcW w:w="3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2B16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RoleTemplate 可传承，个人记忆可审核和停用</w:t>
            </w:r>
          </w:p>
        </w:tc>
        <w:tc>
          <w:tcPr>
            <w:tcW w:w="32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CB40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组织经验不随人员变化流失，也不会把个人偏好变成制度</w:t>
            </w:r>
          </w:p>
        </w:tc>
      </w:tr>
      <w:tr w14:paraId="0C4E94E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99FA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数字会议协议化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40D7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通过独立分析、质询和反方审查降低从众与迎合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3418B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提高多角色决策质量，保留分歧和风险</w:t>
            </w:r>
          </w:p>
        </w:tc>
      </w:tr>
      <w:tr w14:paraId="50D2748B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70DCB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权限贯穿所有入口</w:t>
            </w:r>
          </w:p>
        </w:tc>
        <w:tc>
          <w:tcPr>
            <w:tcW w:w="3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7F6B4F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Web、渠道、Agent、MCP、Worker 和 Action 使用同一 ActorContext</w:t>
            </w:r>
          </w:p>
        </w:tc>
        <w:tc>
          <w:tcPr>
            <w:tcW w:w="32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6CBE3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分身和自动任务不会成为越权后门</w:t>
            </w:r>
          </w:p>
        </w:tc>
      </w:tr>
      <w:tr w14:paraId="5C2D5638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F9D5B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先建议、后审批、再执行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6B17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工具分级和行动状态机明确人机责任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22270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能够从辅助逐步演进到自动化，而不牺牲安全</w:t>
            </w:r>
          </w:p>
        </w:tc>
      </w:tr>
      <w:tr w14:paraId="0E8EF36C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B8C5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供应商可替换</w:t>
            </w:r>
          </w:p>
        </w:tc>
        <w:tc>
          <w:tcPr>
            <w:tcW w:w="3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0BFF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企业自有领域契约隔离模型、知识、记忆和工作流实现</w:t>
            </w:r>
          </w:p>
        </w:tc>
        <w:tc>
          <w:tcPr>
            <w:tcW w:w="32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EFFE5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避免厂商锁定，适配客户现有技术栈</w:t>
            </w:r>
          </w:p>
        </w:tc>
      </w:tr>
      <w:tr w14:paraId="1000CCAB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CE5A9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同一底座支持多应用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46F6C5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分身、会议、分析、客服和运营复用数据、知识、工具和评测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26EE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减少重复建设，保证各渠道企业答案一致</w:t>
            </w:r>
          </w:p>
        </w:tc>
      </w:tr>
      <w:tr w14:paraId="408370FE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0C0C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私有化与企业主导</w:t>
            </w:r>
          </w:p>
        </w:tc>
        <w:tc>
          <w:tcPr>
            <w:tcW w:w="3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17D7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核心资产和审计保留在企业边界内</w:t>
            </w:r>
          </w:p>
        </w:tc>
        <w:tc>
          <w:tcPr>
            <w:tcW w:w="32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35224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满足数据主权、安全和行业合规要求</w:t>
            </w:r>
          </w:p>
        </w:tc>
      </w:tr>
    </w:tbl>
    <w:p w14:paraId="357CF0B1">
      <w:pPr>
        <w:pStyle w:val="3"/>
        <w:keepNext/>
        <w:keepLines/>
      </w:pPr>
      <w:bookmarkStart w:id="48" w:name="_Toc26735"/>
      <w:r>
        <w:t>15. 代表性业务场景</w:t>
      </w:r>
      <w:bookmarkEnd w:id="48"/>
    </w:p>
    <w:p w14:paraId="69F9266C">
      <w:pPr>
        <w:pStyle w:val="4"/>
        <w:keepNext/>
        <w:keepLines/>
      </w:pPr>
      <w:bookmarkStart w:id="49" w:name="_Toc18437"/>
      <w:r>
        <w:t>15.1 管理者分身：从重复答疑到组织能力复用</w:t>
      </w:r>
      <w:bookmarkEnd w:id="49"/>
    </w:p>
    <w:p w14:paraId="23DBEEB7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员工在 Web 或飞书询问制度、KPI 或经营问题。系统识别提问者、问题类型和授权范围，读取当前制度、指标和已审核角色记忆；分身给出事实、判断、未知项和引用证据。员工可以评价、纠错或请求人工接管，重要问题交回负责人确认。</w:t>
      </w:r>
    </w:p>
    <w:p w14:paraId="5997F0E1">
      <w:pPr>
        <w:pStyle w:val="4"/>
        <w:keepNext/>
        <w:keepLines/>
      </w:pPr>
      <w:bookmarkStart w:id="50" w:name="_Toc18086"/>
      <w:r>
        <w:t>15.2 经营异常：从看见问题到形成行动</w:t>
      </w:r>
      <w:bookmarkEnd w:id="50"/>
    </w:p>
    <w:p w14:paraId="23F01CBD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CEO 在驾驶舱发现广告 ROI、退款率或库存周转异常，进入店铺诊断查看指标口径、来源和证据；必要时发起 CEO、运营、财务等角色的数字会议。会议形成决策包后，选择建议进入行动审批，再转为内部工作和复盘。</w:t>
      </w:r>
    </w:p>
    <w:p w14:paraId="0E72D481">
      <w:pPr>
        <w:pStyle w:val="4"/>
        <w:keepNext/>
        <w:keepLines/>
      </w:pPr>
      <w:bookmarkStart w:id="51" w:name="_Toc20039"/>
      <w:r>
        <w:t>15.3 自动巡店：从人工检查到受治理调度</w:t>
      </w:r>
      <w:bookmarkEnd w:id="51"/>
    </w:p>
    <w:p w14:paraId="435F1377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管理者配置门店范围、业务时区、观察窗口和建议阈值。调度器按计划发起分析，Worker 在执行前重新检查计划创建人的当前权限，复用统一事实、证据和分析服务生成简报；高风险建议最多进入待审批状态，不自动改变外部系统。</w:t>
      </w:r>
    </w:p>
    <w:p w14:paraId="2A76AF5C">
      <w:pPr>
        <w:pStyle w:val="4"/>
        <w:keepNext/>
        <w:keepLines/>
      </w:pPr>
      <w:bookmarkStart w:id="52" w:name="_Toc22977"/>
      <w:r>
        <w:t>15.4 智能客服：从查订单到安全草拟</w:t>
      </w:r>
      <w:bookmarkEnd w:id="52"/>
    </w:p>
    <w:p w14:paraId="6501BDA0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客服打开会话后同时看到履约上下文、规范订单/退款事实和当前客服制度。系统先完成范围校验和字段对账，再生成带证据的回复草稿。补偿、退款承诺、重大数据冲突、监管和隐私场景由确定性门禁强制转人工。</w:t>
      </w:r>
    </w:p>
    <w:p w14:paraId="5EC99D1D">
      <w:pPr>
        <w:pStyle w:val="4"/>
        <w:keepNext/>
        <w:keepLines/>
      </w:pPr>
      <w:bookmarkStart w:id="53" w:name="_Toc2414"/>
      <w:r>
        <w:t>15.5 平台治理：从系统配置到统一审计</w:t>
      </w:r>
      <w:bookmarkEnd w:id="53"/>
    </w:p>
    <w:p w14:paraId="5625B579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平台管理员管理企业账号、组织岗位、访问角色、数据范围、渠道身份、工具和 Provider；数据负责人管理来源、映射、指标和质量；制度负责人管理知识版本。所有关键变更和授权允许/拒绝都可以通过统一追踪链关联。</w:t>
      </w:r>
    </w:p>
    <w:p w14:paraId="0CCA189E">
      <w:pPr>
        <w:pStyle w:val="3"/>
        <w:keepNext/>
        <w:keepLines/>
      </w:pPr>
      <w:bookmarkStart w:id="54" w:name="_Toc6279"/>
      <w:r>
        <w:t>16. 产品能力演进蓝图</w:t>
      </w:r>
      <w:bookmarkEnd w:id="54"/>
    </w:p>
    <w:p w14:paraId="2A27CA7B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知行数枢采用“全局架构、纵向价值”的演进方式：保持数据、知识、身份、证据和行动的长期边界稳定，再围绕真实业务场景逐步扩展角色、数据源、渠道和自动化等级。</w:t>
      </w:r>
    </w:p>
    <w:tbl>
      <w:tblPr>
        <w:tblStyle w:val="34"/>
        <w:tblW w:w="9360" w:type="dxa"/>
        <w:tblInd w:w="120" w:type="dxa"/>
        <w:tblBorders>
          <w:top w:val="single" w:color="C7D1D9" w:sz="6" w:space="0"/>
          <w:left w:val="single" w:color="C7D1D9" w:sz="6" w:space="0"/>
          <w:bottom w:val="single" w:color="C7D1D9" w:sz="6" w:space="0"/>
          <w:right w:val="single" w:color="C7D1D9" w:sz="6" w:space="0"/>
          <w:insideH w:val="single" w:color="C7D1D9" w:sz="6" w:space="0"/>
          <w:insideV w:val="single" w:color="C7D1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3260"/>
      </w:tblGrid>
      <w:tr w14:paraId="2761D865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CD42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能力阶段</w:t>
            </w:r>
          </w:p>
        </w:tc>
        <w:tc>
          <w:tcPr>
            <w:tcW w:w="420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2E64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核心能力</w:t>
            </w:r>
          </w:p>
        </w:tc>
        <w:tc>
          <w:tcPr>
            <w:tcW w:w="3260" w:type="dxa"/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8BCF">
            <w:pPr>
              <w:keepNext/>
              <w:keepLines/>
              <w:spacing w:before="40" w:after="40"/>
              <w:jc w:val="left"/>
            </w:pPr>
            <w:r>
              <w:rPr>
                <w:rFonts w:ascii="黑体" w:hAnsi="黑体" w:eastAsia="黑体" w:cs="黑体"/>
                <w:b w:val="0"/>
                <w:color w:val="173F5F"/>
                <w:sz w:val="19"/>
                <w:lang w:eastAsia="zh-CN"/>
              </w:rPr>
              <w:t>客户可见价值</w:t>
            </w:r>
          </w:p>
        </w:tc>
      </w:tr>
      <w:tr w14:paraId="1AD22341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7BBDA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管理者分身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6FEC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制度、记忆、角色版本、问答、反馈和评测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9F81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员工获得带依据的自助答疑，管理者减少重复解释</w:t>
            </w:r>
          </w:p>
        </w:tc>
      </w:tr>
      <w:tr w14:paraId="240435AB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F4D3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数据与会议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890BD2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真实经营数据、指标语义、问数和多角色会议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1C829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管理层获得基于共同证据的经营建议和决策包</w:t>
            </w:r>
          </w:p>
        </w:tc>
      </w:tr>
      <w:tr w14:paraId="1AB92A64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31E60C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运营执行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9485F8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自动巡店、行动中心、审批、内部工作和复盘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57F15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AI 发现问题并推动重复工作，责任和结果可追踪</w:t>
            </w:r>
          </w:p>
        </w:tc>
      </w:tr>
      <w:tr w14:paraId="126471DF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E1A93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客户服务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EA5C1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客服上下文、订单事实、制度门禁、辅助回复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E2C94E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提升响应效率，降低错误承诺和数据冲突风险</w:t>
            </w:r>
          </w:p>
        </w:tc>
      </w:tr>
      <w:tr w14:paraId="33AA0736">
        <w:tblPrEx>
          <w:tblBorders>
            <w:top w:val="single" w:color="C7D1D9" w:sz="6" w:space="0"/>
            <w:left w:val="single" w:color="C7D1D9" w:sz="6" w:space="0"/>
            <w:bottom w:val="single" w:color="C7D1D9" w:sz="6" w:space="0"/>
            <w:right w:val="single" w:color="C7D1D9" w:sz="6" w:space="0"/>
            <w:insideH w:val="single" w:color="C7D1D9" w:sz="6" w:space="0"/>
            <w:insideV w:val="single" w:color="C7D1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27CBD4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企业智能运营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1C9D30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更多数据域、角色、渠道和受控 R3 工具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E04CD">
            <w:pPr>
              <w:keepLines/>
              <w:spacing w:before="20" w:after="20" w:line="276" w:lineRule="auto"/>
            </w:pPr>
            <w:r>
              <w:rPr>
                <w:rFonts w:ascii="微软雅黑" w:hAnsi="微软雅黑" w:eastAsia="微软雅黑" w:cs="微软雅黑"/>
                <w:color w:val="1E2933"/>
                <w:sz w:val="18"/>
                <w:lang w:eastAsia="zh-CN"/>
              </w:rPr>
              <w:t>形成持续学习、协同决策和逐级自动化的企业能力层</w:t>
            </w:r>
          </w:p>
        </w:tc>
      </w:tr>
    </w:tbl>
    <w:p w14:paraId="6F140E0E">
      <w:pPr>
        <w:pStyle w:val="4"/>
        <w:keepNext/>
        <w:keepLines/>
      </w:pPr>
      <w:bookmarkStart w:id="55" w:name="_Toc5002"/>
      <w:r>
        <w:t>16.1 演进原则</w:t>
      </w:r>
      <w:bookmarkEnd w:id="55"/>
    </w:p>
    <w:p w14:paraId="7510D485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每次扩展都必须使用真实用户、真实数据和可量化验收，而不是以页面数量或模型演示为完成标准。</w:t>
      </w:r>
    </w:p>
    <w:p w14:paraId="4BF509AA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新增数据源只改变连接器和映射，不让源字段泄漏到页面、Prompt、MCP 或指标上层。</w:t>
      </w:r>
    </w:p>
    <w:p w14:paraId="552F34BE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新增角色先定义岗位模板、知识范围、能力边界和评测集，再接入渠道。</w:t>
      </w:r>
    </w:p>
    <w:p w14:paraId="39002334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新增自动化先定义风险等级、审批、幂等、回读、补偿和紧急停机，再开放执行。</w:t>
      </w:r>
    </w:p>
    <w:p w14:paraId="21B64D84">
      <w:pPr>
        <w:keepLines/>
        <w:numPr>
          <w:ilvl w:val="0"/>
          <w:numId w:val="7"/>
        </w:numPr>
        <w:spacing w:after="120" w:line="300" w:lineRule="auto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基础设施只有在容量、可靠性或团队边界出现可测瓶颈时演进，避免提前复杂化。</w:t>
      </w:r>
    </w:p>
    <w:p w14:paraId="4F04D47A">
      <w:pPr>
        <w:pStyle w:val="3"/>
        <w:keepNext/>
        <w:keepLines/>
      </w:pPr>
      <w:bookmarkStart w:id="56" w:name="_Toc24970"/>
      <w:r>
        <w:t>结语</w:t>
      </w:r>
      <w:bookmarkEnd w:id="56"/>
    </w:p>
    <w:p w14:paraId="34A45486">
      <w:pPr>
        <w:keepLines/>
        <w:pBdr>
          <w:left w:val="single" w:color="1D6F7A" w:sz="24" w:space="8"/>
        </w:pBdr>
        <w:shd w:val="clear" w:fill="E8F3F3"/>
        <w:spacing w:before="160" w:after="200" w:line="288" w:lineRule="auto"/>
        <w:ind w:left="259" w:right="173"/>
      </w:pPr>
      <w:r>
        <w:rPr>
          <w:rFonts w:ascii="黑体" w:hAnsi="黑体" w:eastAsia="黑体" w:cs="黑体"/>
          <w:b w:val="0"/>
          <w:color w:val="1D6F7A"/>
          <w:sz w:val="21"/>
          <w:lang w:eastAsia="zh-CN"/>
        </w:rPr>
        <w:t xml:space="preserve">最终形态  </w:t>
      </w:r>
      <w:r>
        <w:rPr>
          <w:rFonts w:ascii="微软雅黑" w:hAnsi="微软雅黑" w:eastAsia="微软雅黑" w:cs="微软雅黑"/>
          <w:color w:val="1E2933"/>
          <w:sz w:val="21"/>
          <w:lang w:eastAsia="zh-CN"/>
        </w:rPr>
        <w:t>知行数枢连接已有系统，不推翻已有系统；复用人的经验，不取消人的责任；扩大 AI 能力，同时保留企业自己的数据、认知和业务主导权。</w:t>
      </w:r>
    </w:p>
    <w:p w14:paraId="6C8AFFD0">
      <w:pPr>
        <w:keepLines/>
        <w:jc w:val="both"/>
      </w:pPr>
      <w:r>
        <w:rPr>
          <w:rFonts w:ascii="微软雅黑" w:hAnsi="微软雅黑" w:eastAsia="微软雅黑" w:cs="微软雅黑"/>
          <w:color w:val="1E2933"/>
          <w:sz w:val="21"/>
          <w:lang w:eastAsia="zh-CN"/>
        </w:rPr>
        <w:t>当企业经营事实、正式知识、角色经验和行动过程被持续治理并连接起来，AI 才从一次性的对话工具变成可运营的企业能力。知行数枢以数据中枢为核心、以证据为信任基础、以角色分身和数字会议承载认知、以受控行动形成闭环，最终让企业拥有统一、可信、持续进化的数字运营能力。</w:t>
      </w:r>
    </w:p>
    <w:p w14:paraId="224B46A7">
      <w:pPr>
        <w:spacing w:before="560" w:after="120"/>
        <w:jc w:val="center"/>
      </w:pPr>
      <w:r>
        <w:rPr>
          <w:rFonts w:ascii="黑体" w:hAnsi="黑体" w:eastAsia="黑体" w:cs="黑体"/>
          <w:b w:val="0"/>
          <w:color w:val="173F5F"/>
          <w:sz w:val="30"/>
          <w:lang w:eastAsia="zh-CN"/>
        </w:rPr>
        <w:t>数据归一 · 认知可信 · 决策有据 · 执行可控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CF48E">
    <w:pPr>
      <w:pStyle w:val="24"/>
      <w:jc w:val="center"/>
    </w:pPr>
    <w:r>
      <w:rPr>
        <w:rFonts w:ascii="微软雅黑" w:hAnsi="微软雅黑" w:eastAsia="微软雅黑" w:cs="微软雅黑"/>
        <w:color w:val="65727E"/>
        <w:sz w:val="16"/>
        <w:lang w:eastAsia="zh-CN"/>
      </w:rPr>
      <w:t xml:space="preserve">数据归一 · 认知可信 · 决策有据 · 执行可控   |   </w: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begin"/>
    </w:r>
    <w:r>
      <w:rPr>
        <w:rFonts w:ascii="微软雅黑" w:hAnsi="微软雅黑" w:eastAsia="微软雅黑" w:cs="微软雅黑"/>
        <w:color w:val="65727E"/>
        <w:sz w:val="18"/>
        <w:lang w:eastAsia="zh-CN"/>
      </w:rPr>
      <w:instrText xml:space="preserve">PAGE</w:instrTex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separate"/>
    </w:r>
    <w:r>
      <w:rPr>
        <w:rFonts w:ascii="微软雅黑" w:hAnsi="微软雅黑" w:eastAsia="微软雅黑" w:cs="微软雅黑"/>
        <w:color w:val="65727E"/>
        <w:sz w:val="18"/>
        <w:lang w:eastAsia="zh-CN"/>
      </w:rPr>
      <w:t>2</w: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end"/>
    </w:r>
    <w:r>
      <w:rPr>
        <w:rFonts w:ascii="微软雅黑" w:hAnsi="微软雅黑" w:eastAsia="微软雅黑" w:cs="微软雅黑"/>
        <w:color w:val="65727E"/>
        <w:sz w:val="16"/>
        <w:lang w:eastAsia="zh-CN"/>
      </w:rPr>
      <w:t xml:space="preserve"> / </w: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begin"/>
    </w:r>
    <w:r>
      <w:rPr>
        <w:rFonts w:ascii="微软雅黑" w:hAnsi="微软雅黑" w:eastAsia="微软雅黑" w:cs="微软雅黑"/>
        <w:color w:val="65727E"/>
        <w:sz w:val="18"/>
        <w:lang w:eastAsia="zh-CN"/>
      </w:rPr>
      <w:instrText xml:space="preserve">NUMPAGES</w:instrTex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separate"/>
    </w:r>
    <w:r>
      <w:rPr>
        <w:rFonts w:ascii="微软雅黑" w:hAnsi="微软雅黑" w:eastAsia="微软雅黑" w:cs="微软雅黑"/>
        <w:color w:val="65727E"/>
        <w:sz w:val="18"/>
        <w:lang w:eastAsia="zh-CN"/>
      </w:rPr>
      <w:t>23</w:t>
    </w:r>
    <w:r>
      <w:rPr>
        <w:rFonts w:ascii="微软雅黑" w:hAnsi="微软雅黑" w:eastAsia="微软雅黑" w:cs="微软雅黑"/>
        <w:color w:val="65727E"/>
        <w:sz w:val="18"/>
        <w:lang w:eastAsia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35161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CAAC5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C4969">
    <w:pPr>
      <w:pStyle w:val="25"/>
      <w:jc w:val="right"/>
    </w:pPr>
    <w:r>
      <w:rPr>
        <w:rFonts w:ascii="微软雅黑" w:hAnsi="微软雅黑" w:eastAsia="微软雅黑" w:cs="微软雅黑"/>
        <w:color w:val="65727E"/>
        <w:sz w:val="17"/>
        <w:lang w:eastAsia="zh-CN"/>
      </w:rPr>
      <w:t>知行数枢  |  产品架构白皮书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8CAE3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FDB5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20" w:line="300" w:lineRule="auto"/>
        <w:ind w:left="720" w:hanging="360"/>
      </w:pPr>
      <w:rPr>
        <w:rFonts w:ascii="微软雅黑" w:hAnsi="微软雅黑" w:eastAsia="微软雅黑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spacing w:after="120" w:line="300" w:lineRule="auto"/>
        <w:ind w:left="1080" w:hanging="360"/>
      </w:pPr>
      <w:rPr>
        <w:rFonts w:ascii="微软雅黑" w:hAnsi="微软雅黑" w:eastAsia="微软雅黑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spacing w:after="120" w:line="300" w:lineRule="auto"/>
        <w:ind w:left="1440" w:hanging="360"/>
      </w:pPr>
      <w:rPr>
        <w:rFonts w:ascii="微软雅黑" w:hAnsi="微软雅黑" w:eastAsia="微软雅黑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20" w:line="300" w:lineRule="auto"/>
        <w:ind w:left="720" w:hanging="360"/>
      </w:pPr>
      <w:rPr>
        <w:rFonts w:ascii="微软雅黑" w:hAnsi="微软雅黑" w:eastAsia="微软雅黑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spacing w:after="120" w:line="300" w:lineRule="auto"/>
        <w:ind w:left="1080" w:hanging="360"/>
      </w:pPr>
      <w:rPr>
        <w:rFonts w:ascii="微软雅黑" w:hAnsi="微软雅黑" w:eastAsia="微软雅黑"/>
      </w:rPr>
    </w:lvl>
    <w:lvl w:ilvl="2" w:tentative="0">
      <w:start w:val="1"/>
      <w:numFmt w:val="bullet"/>
      <w:lvlText w:val="•"/>
      <w:lvlJc w:val="left"/>
      <w:pPr>
        <w:tabs>
          <w:tab w:val="left" w:pos="1440"/>
        </w:tabs>
        <w:spacing w:after="120" w:line="300" w:lineRule="auto"/>
        <w:ind w:left="1440" w:hanging="360"/>
      </w:pPr>
      <w:rPr>
        <w:rFonts w:ascii="微软雅黑" w:hAnsi="微软雅黑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7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微软雅黑" w:hAnsi="微软雅黑" w:eastAsia="微软雅黑" w:cs="微软雅黑"/>
      <w:color w:val="1E2933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160"/>
      <w:outlineLvl w:val="0"/>
    </w:pPr>
    <w:rPr>
      <w:rFonts w:ascii="黑体" w:hAnsi="黑体" w:eastAsia="黑体" w:cs="黑体"/>
      <w:color w:val="173F5F"/>
      <w:sz w:val="36"/>
      <w:szCs w:val="28"/>
      <w:lang w:eastAsia="zh-CN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="黑体" w:hAnsi="黑体" w:eastAsia="黑体" w:cs="黑体"/>
      <w:color w:val="1D6F7A"/>
      <w:sz w:val="28"/>
      <w:szCs w:val="26"/>
      <w:lang w:eastAsia="zh-CN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="黑体" w:hAnsi="黑体" w:eastAsia="黑体" w:cs="黑体"/>
      <w:color w:val="A66A20"/>
      <w:sz w:val="23"/>
      <w:lang w:eastAsia="zh-CN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ns2:textFill>
        <ns2:solidFill>
          <ns2:schemeClr ns2:val="accent1"/>
        </ns2:solidFill>
      </ns2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ns2:textFill>
        <ns2:solidFill>
          <ns2:schemeClr ns2:val="accent1"/>
        </ns2:solidFill>
      </ns2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ns2:textFill>
        <ns2:solidFill>
          <ns2:schemeClr ns2:val="accent1"/>
        </ns2:solidFill>
      </ns2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ns2:textFill>
        <ns2:solidFill>
          <ns2:schemeClr ns2:val="accent1"/>
        </ns2:solidFill>
      </ns2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ns2:textFill>
        <ns2:solidFill>
          <ns2:schemeClr ns2:val="accent1"/>
        </ns2:solidFill>
      </ns2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ns2:textFill>
        <ns2:solidFill>
          <ns2:schemeClr ns2:val="tx1"/>
        </ns2:solidFill>
      </ns2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ns2:textFill>
        <ns2:solidFill>
          <ns2:schemeClr ns2:val="tx1"/>
        </ns2:solidFill>
      </ns2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ns2:textFill>
        <ns2:solidFill>
          <ns2:schemeClr ns2:val="accent1"/>
        </ns2:solidFill>
      </ns2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ns2:textFill>
        <ns2:solidFill>
          <ns2:schemeClr ns2:val="tx1">
            <ns2:lumMod ns2:val="50000"/>
            <ns2:lumOff ns2:val="50000"/>
          </ns2:schemeClr>
        </ns2:solidFill>
      </ns2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ns2:textFill>
        <ns2:solidFill>
          <ns2:schemeClr ns2:val="accent2"/>
        </ns2:solidFill>
      </ns2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ns2:textFill>
        <ns2:solidFill>
          <ns2:schemeClr ns2:val="accent2"/>
        </ns2:solidFill>
      </ns2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知行数枢</dc:creator>
  <dc:description>产品架构白皮书 V1.0</dc:description>
  <cp:keywords>企业数据中枢, 角色分身, 数字会议, 智能分析, 受控执行</cp:keywords>
  <cp:lastModifiedBy>等待一个奇迹——</cp:lastModifiedBy>
  <dcterms:modified xsi:type="dcterms:W3CDTF">2026-08-30T16:37:46Z</dcterms:modified>
  <dc:subject>产品定位、总体架构、核心能力与产品优势</dc:subject>
  <dc:title>知行数枢 - 企业数据智能运营中枢产品架构白皮书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9C98D2023DC24285BB8D3105B72B018D_12</vt:lpwstr>
  </property>
</Properties>
</file>