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1609"/>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530450921"/>
      <w:bookmarkStart w:id="3" w:name="_Toc530908055"/>
      <w:bookmarkStart w:id="4" w:name="_Toc325297004"/>
      <w:bookmarkStart w:id="5" w:name="_Toc17031"/>
      <w:bookmarkStart w:id="6" w:name="_Toc206431052"/>
      <w:bookmarkStart w:id="7" w:name="_Toc206431105"/>
      <w:bookmarkStart w:id="8" w:name="_Toc4314"/>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530908056"/>
      <w:bookmarkStart w:id="12" w:name="_Toc206431053"/>
      <w:bookmarkStart w:id="13" w:name="_Toc25909"/>
      <w:bookmarkStart w:id="14" w:name="_Toc206431106"/>
      <w:bookmarkStart w:id="15" w:name="_Toc8204"/>
      <w:bookmarkStart w:id="16" w:name="_Toc530450922"/>
      <w:bookmarkStart w:id="17" w:name="_Toc325297005"/>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528568461"/>
      <w:bookmarkStart w:id="19" w:name="_Toc206431057"/>
      <w:bookmarkStart w:id="20" w:name="_Toc529080477"/>
      <w:bookmarkStart w:id="21" w:name="_Toc19177"/>
      <w:bookmarkStart w:id="22" w:name="_Toc206431110"/>
      <w:bookmarkStart w:id="23" w:name="_Toc528572769"/>
      <w:bookmarkStart w:id="24" w:name="_Toc325297007"/>
      <w:bookmarkStart w:id="25" w:name="_Toc519330229"/>
      <w:bookmarkStart w:id="26" w:name="_Toc17264"/>
      <w:bookmarkStart w:id="27" w:name="_Toc530908060"/>
      <w:bookmarkStart w:id="28" w:name="_Toc528573756"/>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325297008"/>
      <w:bookmarkStart w:id="30" w:name="_Toc528573760"/>
      <w:bookmarkStart w:id="31" w:name="_Toc528568465"/>
      <w:bookmarkStart w:id="32" w:name="_Toc519330233"/>
      <w:bookmarkStart w:id="33" w:name="_Toc528572773"/>
      <w:bookmarkStart w:id="34" w:name="_Toc529080481"/>
      <w:bookmarkStart w:id="35" w:name="_Toc206431111"/>
      <w:bookmarkStart w:id="36" w:name="_Toc206431058"/>
      <w:bookmarkStart w:id="37" w:name="_Toc530908061"/>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206431114"/>
      <w:bookmarkStart w:id="41" w:name="_Toc8207"/>
      <w:bookmarkStart w:id="42" w:name="_Toc22325"/>
      <w:bookmarkStart w:id="43" w:name="_Toc206431061"/>
      <w:bookmarkStart w:id="44" w:name="_Toc325297010"/>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12938"/>
      <w:bookmarkStart w:id="46" w:name="_Toc325297011"/>
      <w:bookmarkStart w:id="47" w:name="_Toc206431115"/>
      <w:bookmarkStart w:id="48" w:name="_Toc13326"/>
      <w:bookmarkStart w:id="49" w:name="_Toc206431062"/>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5958"/>
      <w:bookmarkStart w:id="52" w:name="_Toc206431119"/>
      <w:bookmarkStart w:id="53" w:name="_Toc206431066"/>
      <w:bookmarkStart w:id="54" w:name="_Toc530908064"/>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品牌基金和通讯的预算项目通过excel模版导入预算项目。</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5"/>
        <w:rPr>
          <w:rFonts w:hint="eastAsia" w:ascii="微软雅黑" w:hAnsi="微软雅黑" w:eastAsia="微软雅黑"/>
          <w:sz w:val="24"/>
          <w:szCs w:val="24"/>
        </w:rPr>
      </w:pPr>
      <w:r>
        <w:rPr>
          <w:rFonts w:hint="eastAsia" w:ascii="微软雅黑" w:hAnsi="微软雅黑" w:eastAsia="微软雅黑"/>
          <w:sz w:val="24"/>
          <w:szCs w:val="24"/>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项目管理-&gt;预算项目列表</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6"/>
        <w:bidi w:val="0"/>
        <w:rPr>
          <w:rFonts w:hint="default"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导入</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rPr>
            </w:pPr>
            <w:r>
              <w:rPr>
                <w:rFonts w:hint="eastAsia" w:ascii="微软雅黑" w:hAnsi="微软雅黑" w:eastAsia="微软雅黑" w:cs="微软雅黑"/>
                <w:color w:val="auto"/>
                <w:szCs w:val="21"/>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点击弹出上传文件的弹窗，选择文件（符合模版格式的文件），导入品牌基金或者通讯的预算项目数据。</w:t>
            </w:r>
            <w:r>
              <w:rPr>
                <w:rFonts w:hint="eastAsia" w:ascii="微软雅黑" w:hAnsi="微软雅黑" w:eastAsia="微软雅黑" w:cs="微软雅黑"/>
                <w:color w:val="auto"/>
                <w:szCs w:val="21"/>
                <w:lang w:val="en-US" w:eastAsia="zh-CN"/>
              </w:rPr>
              <w:br w:type="textWrapping"/>
            </w:r>
            <w:r>
              <w:rPr>
                <w:rFonts w:hint="eastAsia" w:ascii="微软雅黑" w:hAnsi="微软雅黑" w:eastAsia="微软雅黑" w:cs="微软雅黑"/>
                <w:color w:val="auto"/>
                <w:szCs w:val="21"/>
                <w:lang w:val="en-US" w:eastAsia="zh-CN"/>
              </w:rPr>
              <w:t>上传完成后，提示导入成功数量和失败数量，如有导入失败的条目则以列表形式展示出来</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b/>
                <w:bCs/>
                <w:color w:val="000000" w:themeColor="text1"/>
                <w:szCs w:val="21"/>
                <w:lang w:val="en-US" w:eastAsia="zh-CN"/>
                <w14:textFill>
                  <w14:solidFill>
                    <w14:schemeClr w14:val="tx1"/>
                  </w14:solidFill>
                </w14:textFill>
              </w:rPr>
            </w:pPr>
            <w:r>
              <w:rPr>
                <w:rFonts w:hint="eastAsia" w:ascii="微软雅黑" w:hAnsi="微软雅黑" w:eastAsia="微软雅黑" w:cs="微软雅黑"/>
                <w:b/>
                <w:bCs/>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预算项目ID：用户填写，且不可重复。</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导入模版：</w:t>
            </w:r>
            <w:r>
              <w:rPr>
                <w:rFonts w:hint="eastAsia" w:ascii="微软雅黑" w:hAnsi="微软雅黑" w:eastAsia="微软雅黑" w:cs="微软雅黑"/>
                <w:color w:val="0000FF"/>
                <w:szCs w:val="21"/>
                <w:lang w:val="en-US" w:eastAsia="zh-CN"/>
              </w:rPr>
              <w:fldChar w:fldCharType="begin"/>
            </w:r>
            <w:r>
              <w:rPr>
                <w:rFonts w:hint="eastAsia" w:ascii="微软雅黑" w:hAnsi="微软雅黑" w:eastAsia="微软雅黑" w:cs="微软雅黑"/>
                <w:color w:val="0000FF"/>
                <w:szCs w:val="21"/>
                <w:lang w:val="en-US" w:eastAsia="zh-CN"/>
              </w:rPr>
              <w:instrText xml:space="preserve"> HYPERLINK "https://kdocs.cn/l/cs8V4cuOTqhp" </w:instrText>
            </w:r>
            <w:r>
              <w:rPr>
                <w:rFonts w:hint="eastAsia" w:ascii="微软雅黑" w:hAnsi="微软雅黑" w:eastAsia="微软雅黑" w:cs="微软雅黑"/>
                <w:color w:val="0000FF"/>
                <w:szCs w:val="21"/>
                <w:lang w:val="en-US" w:eastAsia="zh-CN"/>
              </w:rPr>
              <w:fldChar w:fldCharType="separate"/>
            </w:r>
            <w:r>
              <w:rPr>
                <w:rStyle w:val="31"/>
                <w:rFonts w:hint="eastAsia" w:ascii="微软雅黑" w:hAnsi="微软雅黑" w:eastAsia="微软雅黑" w:cs="微软雅黑"/>
                <w:color w:val="0000FF"/>
                <w:szCs w:val="21"/>
                <w:lang w:val="en-US" w:eastAsia="zh-CN"/>
              </w:rPr>
              <w:t>MPM预算项目导入模版.xlsx</w:t>
            </w:r>
            <w:r>
              <w:rPr>
                <w:rFonts w:hint="eastAsia" w:ascii="微软雅黑" w:hAnsi="微软雅黑" w:eastAsia="微软雅黑" w:cs="微软雅黑"/>
                <w:color w:val="0000FF"/>
                <w:szCs w:val="21"/>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预算项目导入模版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点击则下载预算项目导入模板</w:t>
            </w:r>
          </w:p>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模板文件：https://kdocs.cn/l/csHIH7KS8KYw</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b/>
                <w:bCs/>
                <w:color w:val="000000" w:themeColor="text1"/>
                <w:szCs w:val="21"/>
                <w:lang w:val="en-US" w:eastAsia="zh-CN"/>
                <w14:textFill>
                  <w14:solidFill>
                    <w14:schemeClr w14:val="tx1"/>
                  </w14:solidFill>
                </w14:textFill>
              </w:rPr>
            </w:pPr>
            <w:r>
              <w:rPr>
                <w:rFonts w:hint="eastAsia" w:ascii="微软雅黑" w:hAnsi="微软雅黑" w:eastAsia="微软雅黑" w:cs="微软雅黑"/>
                <w:b/>
                <w:bCs/>
                <w:color w:val="000000" w:themeColor="text1"/>
                <w:szCs w:val="21"/>
                <w:lang w:val="en-US" w:eastAsia="zh-CN"/>
                <w14:textFill>
                  <w14:solidFill>
                    <w14:schemeClr w14:val="tx1"/>
                  </w14:solidFill>
                </w14:textFill>
              </w:rPr>
              <w:t>使用权限：超级管理员。</w:t>
            </w:r>
            <w:bookmarkStart w:id="119" w:name="_GoBack"/>
            <w:bookmarkEnd w:id="119"/>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点击则根据查询条件筛选出的数据，导出成为Excel文件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FF0000"/>
                <w:szCs w:val="21"/>
                <w:lang w:val="en-US" w:eastAsia="zh-CN"/>
              </w:rPr>
              <w:t>导出模版：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使用权限：普通用户/超级管理员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default"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导入预算项目</w:t>
      </w:r>
    </w:p>
    <w:p>
      <w:pPr>
        <w:pStyle w:val="58"/>
        <w:numPr>
          <w:ilvl w:val="0"/>
          <w:numId w:val="0"/>
        </w:numPr>
        <w:ind w:leftChars="0"/>
      </w:pPr>
      <w:r>
        <w:drawing>
          <wp:inline distT="0" distB="0" distL="114300" distR="114300">
            <wp:extent cx="5276215" cy="3045460"/>
            <wp:effectExtent l="0" t="0" r="63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76215" cy="3045460"/>
                    </a:xfrm>
                    <a:prstGeom prst="rect">
                      <a:avLst/>
                    </a:prstGeom>
                    <a:noFill/>
                    <a:ln>
                      <a:noFill/>
                    </a:ln>
                  </pic:spPr>
                </pic:pic>
              </a:graphicData>
            </a:graphic>
          </wp:inline>
        </w:drawing>
      </w:r>
    </w:p>
    <w:p>
      <w:pPr>
        <w:rPr>
          <w:rFonts w:hint="eastAsia" w:ascii="微软雅黑" w:hAnsi="微软雅黑" w:eastAsia="微软雅黑" w:cs="微软雅黑"/>
          <w:color w:val="000000" w:themeColor="text1"/>
          <w:sz w:val="24"/>
          <w14:textFill>
            <w14:solidFill>
              <w14:schemeClr w14:val="tx1"/>
            </w14:solidFill>
          </w14:textFill>
        </w:rPr>
      </w:pPr>
    </w:p>
    <w:p>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8"/>
        <w:tblW w:w="8686"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566"/>
        <w:gridCol w:w="3960"/>
        <w:gridCol w:w="31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bCs/>
                <w:i w:val="0"/>
                <w:iCs w:val="0"/>
                <w:color w:val="FFFFFF"/>
                <w:kern w:val="0"/>
                <w:sz w:val="22"/>
                <w:szCs w:val="22"/>
                <w:u w:val="none"/>
                <w:lang w:val="en-US" w:eastAsia="zh-CN" w:bidi="ar"/>
              </w:rPr>
            </w:pPr>
            <w:r>
              <w:rPr>
                <w:rFonts w:hint="eastAsia" w:ascii="微软雅黑" w:hAnsi="微软雅黑" w:eastAsia="微软雅黑" w:cs="微软雅黑"/>
                <w:b w:val="0"/>
                <w:bCs w:val="0"/>
                <w:i w:val="0"/>
                <w:iCs w:val="0"/>
                <w:color w:val="000000"/>
                <w:sz w:val="22"/>
                <w:szCs w:val="22"/>
                <w:u w:val="none"/>
                <w:lang w:val="en-US" w:eastAsia="zh-CN"/>
              </w:rPr>
              <w:t>主数据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预算项目ID</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自定义的ID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唯一，不可重复，格式：数字+字母</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项目名称</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文本</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格式：长度限制和立项的项目名称一致</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商用事业部推广费专项项目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项目年度</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年份</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格式：四位数值</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预算来源</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格式：只能是【</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品牌基金</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】二者之一</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sz w:val="22"/>
                <w:szCs w:val="22"/>
                <w:u w:val="none"/>
              </w:rPr>
            </w:pPr>
            <w:r>
              <w:rPr>
                <w:rFonts w:hint="eastAsia" w:ascii="微软雅黑" w:hAnsi="微软雅黑" w:eastAsia="微软雅黑" w:cs="微软雅黑"/>
                <w:b/>
                <w:bCs/>
                <w:i w:val="0"/>
                <w:iCs w:val="0"/>
                <w:color w:val="000000"/>
                <w:sz w:val="22"/>
                <w:szCs w:val="22"/>
                <w:u w:val="none"/>
              </w:rPr>
              <w:t>负责人</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负责人OA账号</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格式：与OA系统的用户账号一致，必须要有匹配的用户</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huihua2.zhu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b w:val="0"/>
                <w:bCs w:val="0"/>
                <w:i w:val="0"/>
                <w:iCs w:val="0"/>
                <w:color w:val="000000"/>
                <w:sz w:val="22"/>
                <w:szCs w:val="22"/>
                <w:u w:val="none"/>
                <w:lang w:val="en-US" w:eastAsia="zh-CN"/>
              </w:rPr>
              <w:t>业务数据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业务数据对应的主数据项目ID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如果重复导入同样项目ID的业务数据，则作项目业务数据新增</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预算部门</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MPM预算部门</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APBG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项目类型</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MPM项目类型</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创意及设计</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 xml:space="preserve">L3业务动因 </w:t>
            </w:r>
          </w:p>
        </w:tc>
        <w:tc>
          <w:tcPr>
            <w:tcW w:w="39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L3业务动因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L4业务动因</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L4业务动因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平面类素材购买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品类分类</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品类分类</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冰箱</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金额(元)</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金额(人民币)</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保留小数点后两位</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2.00</w:t>
            </w:r>
          </w:p>
        </w:tc>
      </w:tr>
    </w:tbl>
    <w:p>
      <w:pPr>
        <w:pStyle w:val="58"/>
        <w:numPr>
          <w:ilvl w:val="0"/>
          <w:numId w:val="0"/>
        </w:numPr>
        <w:ind w:leftChars="0"/>
        <w:rPr>
          <w:rFonts w:hint="default"/>
          <w:lang w:val="en-US" w:eastAsia="zh-CN"/>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7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16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点击弹出系统文件选择</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点击之后弹出【导入结果】弹窗，返回导入成功和失败的结果。</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输入无误的数据正常导入到数据库，输入有误的数据（</w:t>
            </w:r>
            <w:r>
              <w:rPr>
                <w:rFonts w:hint="eastAsia" w:ascii="微软雅黑" w:hAnsi="微软雅黑" w:eastAsia="微软雅黑" w:cs="微软雅黑"/>
                <w:color w:val="7030A0"/>
                <w:szCs w:val="21"/>
                <w:lang w:val="en-US" w:eastAsia="zh-CN"/>
              </w:rPr>
              <w:t>字段格式不正确，无法匹配到系统选项，无法找到项目责任人等</w:t>
            </w:r>
            <w:r>
              <w:rPr>
                <w:rFonts w:hint="eastAsia" w:ascii="微软雅黑" w:hAnsi="微软雅黑" w:eastAsia="微软雅黑" w:cs="微软雅黑"/>
                <w:color w:val="000000" w:themeColor="text1"/>
                <w:szCs w:val="21"/>
                <w:lang w:val="en-US" w:eastAsia="zh-CN"/>
                <w14:textFill>
                  <w14:solidFill>
                    <w14:schemeClr w14:val="tx1"/>
                  </w14:solidFill>
                </w14:textFill>
              </w:rPr>
              <w:t>）不导入到数据库，只将输入错误的数据返回。</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取消导入，返回列表</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导入结果</w:t>
      </w:r>
    </w:p>
    <w:p>
      <w:pPr>
        <w:pStyle w:val="58"/>
        <w:numPr>
          <w:ilvl w:val="0"/>
          <w:numId w:val="0"/>
        </w:numPr>
        <w:ind w:leftChars="0"/>
      </w:pPr>
    </w:p>
    <w:p>
      <w:pPr>
        <w:pStyle w:val="58"/>
        <w:numPr>
          <w:ilvl w:val="0"/>
          <w:numId w:val="0"/>
        </w:numPr>
        <w:ind w:leftChars="0"/>
        <w:rPr>
          <w:rFonts w:hint="default"/>
          <w:lang w:val="en-US" w:eastAsia="zh-CN"/>
        </w:rPr>
      </w:pPr>
      <w:r>
        <w:drawing>
          <wp:inline distT="0" distB="0" distL="114300" distR="114300">
            <wp:extent cx="5271135" cy="3046095"/>
            <wp:effectExtent l="0" t="0" r="5715" b="190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6"/>
                    <a:stretch>
                      <a:fillRect/>
                    </a:stretch>
                  </pic:blipFill>
                  <pic:spPr>
                    <a:xfrm>
                      <a:off x="0" y="0"/>
                      <a:ext cx="5271135" cy="304609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导入成功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显示导入成功的主数据和业务数据的数量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显示导入失败的主数据和业务数据的数量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导入失败的数据</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展示导入失败的主数据和业务数据的详情，展示所有字段，有错误的字段边框为红色</w:t>
            </w:r>
          </w:p>
        </w:tc>
      </w:tr>
    </w:tbl>
    <w:p>
      <w:pPr>
        <w:pStyle w:val="26"/>
        <w:spacing w:before="0" w:beforeAutospacing="0" w:after="30" w:afterAutospacing="0" w:line="360" w:lineRule="auto"/>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点击【导出】上传失败的主数据和业务数据，格式为Excel，排版与上传的文件一致。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主数据/业务数据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Tab</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点击切换不同的列表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672"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2335"/>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30408"/>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3117"/>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5183"/>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7"/>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8"/>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9"/>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68"/>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5712"/>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9054"/>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269"/>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3229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23250"/>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3595"/>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5123"/>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85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20"/>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31271"/>
      <w:r>
        <w:rPr>
          <w:rFonts w:hint="eastAsia" w:ascii="微软雅黑" w:hAnsi="微软雅黑" w:eastAsia="微软雅黑" w:cs="微软雅黑"/>
          <w:color w:val="000000" w:themeColor="text1"/>
          <w14:textFill>
            <w14:solidFill>
              <w14:schemeClr w14:val="tx1"/>
            </w14:solidFill>
          </w14:textFill>
        </w:rPr>
        <w:t>营销知识库</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32754"/>
      <w:r>
        <w:rPr>
          <w:rFonts w:hint="eastAsia" w:ascii="微软雅黑" w:hAnsi="微软雅黑" w:eastAsia="微软雅黑" w:cs="微软雅黑"/>
          <w:color w:val="000000" w:themeColor="text1"/>
          <w14:textFill>
            <w14:solidFill>
              <w14:schemeClr w14:val="tx1"/>
            </w14:solidFill>
          </w14:textFill>
        </w:rPr>
        <w:t>概述</w:t>
      </w:r>
      <w:bookmarkEnd w:id="85"/>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86" w:name="_Toc29552"/>
      <w:r>
        <w:rPr>
          <w:rFonts w:hint="eastAsia" w:ascii="微软雅黑" w:hAnsi="微软雅黑" w:eastAsia="微软雅黑" w:cs="微软雅黑"/>
          <w:color w:val="000000" w:themeColor="text1"/>
          <w14:textFill>
            <w14:solidFill>
              <w14:schemeClr w14:val="tx1"/>
            </w14:solidFill>
          </w14:textFill>
        </w:rPr>
        <w:t>功能入口</w:t>
      </w:r>
      <w:bookmarkEnd w:id="8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87" w:name="_Toc14022"/>
      <w:r>
        <w:rPr>
          <w:rFonts w:hint="eastAsia" w:ascii="微软雅黑" w:hAnsi="微软雅黑" w:eastAsia="微软雅黑" w:cs="微软雅黑"/>
          <w:color w:val="000000" w:themeColor="text1"/>
          <w14:textFill>
            <w14:solidFill>
              <w14:schemeClr w14:val="tx1"/>
            </w14:solidFill>
          </w14:textFill>
        </w:rPr>
        <w:t>用户界面</w:t>
      </w:r>
      <w:bookmarkEnd w:id="87"/>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8"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88"/>
    </w:p>
    <w:p>
      <w:pPr>
        <w:pStyle w:val="4"/>
        <w:rPr>
          <w:rFonts w:ascii="微软雅黑" w:hAnsi="微软雅黑" w:eastAsia="微软雅黑" w:cs="微软雅黑"/>
          <w:color w:val="000000" w:themeColor="text1"/>
          <w14:textFill>
            <w14:solidFill>
              <w14:schemeClr w14:val="tx1"/>
            </w14:solidFill>
          </w14:textFill>
        </w:rPr>
      </w:pPr>
      <w:bookmarkStart w:id="89" w:name="_Toc29806"/>
      <w:r>
        <w:rPr>
          <w:rFonts w:hint="eastAsia" w:ascii="微软雅黑" w:hAnsi="微软雅黑" w:eastAsia="微软雅黑" w:cs="微软雅黑"/>
          <w:color w:val="000000" w:themeColor="text1"/>
          <w14:textFill>
            <w14:solidFill>
              <w14:schemeClr w14:val="tx1"/>
            </w14:solidFill>
          </w14:textFill>
        </w:rPr>
        <w:t>概述</w:t>
      </w:r>
      <w:bookmarkEnd w:id="89"/>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发文公告管理，用于发布和维护发文公告的功能模块，控制发文的新建，发布，置顶，作废等功能，主要使用者【超级管理员】。</w:t>
      </w:r>
    </w:p>
    <w:p>
      <w:pPr>
        <w:pStyle w:val="4"/>
        <w:rPr>
          <w:rFonts w:ascii="微软雅黑" w:hAnsi="微软雅黑" w:eastAsia="微软雅黑" w:cs="微软雅黑"/>
          <w:color w:val="000000" w:themeColor="text1"/>
          <w14:textFill>
            <w14:solidFill>
              <w14:schemeClr w14:val="tx1"/>
            </w14:solidFill>
          </w14:textFill>
        </w:rPr>
      </w:pPr>
      <w:bookmarkStart w:id="90" w:name="_Toc19698"/>
      <w:r>
        <w:rPr>
          <w:rFonts w:hint="eastAsia" w:ascii="微软雅黑" w:hAnsi="微软雅黑" w:eastAsia="微软雅黑" w:cs="微软雅黑"/>
          <w:color w:val="000000" w:themeColor="text1"/>
          <w14:textFill>
            <w14:solidFill>
              <w14:schemeClr w14:val="tx1"/>
            </w14:solidFill>
          </w14:textFill>
        </w:rPr>
        <w:t>功能入口</w:t>
      </w:r>
      <w:bookmarkEnd w:id="90"/>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基础配置-&gt;发文公告管理</w:t>
      </w:r>
    </w:p>
    <w:p>
      <w:pPr>
        <w:pStyle w:val="4"/>
        <w:rPr>
          <w:rFonts w:ascii="微软雅黑" w:hAnsi="微软雅黑" w:eastAsia="微软雅黑" w:cs="微软雅黑"/>
          <w:color w:val="000000" w:themeColor="text1"/>
          <w14:textFill>
            <w14:solidFill>
              <w14:schemeClr w14:val="tx1"/>
            </w14:solidFill>
          </w14:textFill>
        </w:rPr>
      </w:pPr>
      <w:bookmarkStart w:id="91" w:name="_Toc28573"/>
      <w:r>
        <w:rPr>
          <w:rFonts w:hint="eastAsia" w:ascii="微软雅黑" w:hAnsi="微软雅黑" w:eastAsia="微软雅黑" w:cs="微软雅黑"/>
          <w:color w:val="000000" w:themeColor="text1"/>
          <w14:textFill>
            <w14:solidFill>
              <w14:schemeClr w14:val="tx1"/>
            </w14:solidFill>
          </w14:textFill>
        </w:rPr>
        <w:t>用户界面</w:t>
      </w:r>
      <w:bookmarkEnd w:id="91"/>
    </w:p>
    <w:p>
      <w:r>
        <w:drawing>
          <wp:inline distT="0" distB="0" distL="114300" distR="114300">
            <wp:extent cx="5263515" cy="3075940"/>
            <wp:effectExtent l="0" t="0" r="1333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2"/>
                    <a:stretch>
                      <a:fillRect/>
                    </a:stretch>
                  </pic:blipFill>
                  <pic:spPr>
                    <a:xfrm>
                      <a:off x="0" y="0"/>
                      <a:ext cx="5263515" cy="307594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307467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3"/>
                    <a:stretch>
                      <a:fillRect/>
                    </a:stretch>
                  </pic:blipFill>
                  <pic:spPr>
                    <a:xfrm>
                      <a:off x="0" y="0"/>
                      <a:ext cx="5272405" cy="3074670"/>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使用者【超级管理员】</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列表的条目按创建时间倒序排序</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【类型】来源于数据字典中新建的【发文公告类型】</w:t>
      </w:r>
    </w:p>
    <w:p>
      <w:pPr>
        <w:numPr>
          <w:ilvl w:val="0"/>
          <w:numId w:val="16"/>
        </w:numPr>
        <w:rPr>
          <w:rFonts w:hint="default"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置顶的发文最多三个</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未发布时，【发布时间】为空</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未处于【发布】状态的发文不展示在用户端的发文公告列表和首页发文模块</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状态包括【草稿】【发布】【撤回】【废弃】，状态变化如下：</w:t>
      </w:r>
    </w:p>
    <w:p>
      <w:pPr>
        <w:numPr>
          <w:ilvl w:val="0"/>
          <w:numId w:val="0"/>
        </w:numPr>
        <w:ind w:firstLine="420" w:firstLineChars="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drawing>
          <wp:inline distT="0" distB="0" distL="114300" distR="114300">
            <wp:extent cx="4155440" cy="2071370"/>
            <wp:effectExtent l="0" t="0" r="0" b="0"/>
            <wp:docPr id="25" name="图片 2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命名文件"/>
                    <pic:cNvPicPr>
                      <a:picLocks noChangeAspect="1"/>
                    </pic:cNvPicPr>
                  </pic:nvPicPr>
                  <pic:blipFill>
                    <a:blip r:embed="rId24"/>
                    <a:stretch>
                      <a:fillRect/>
                    </a:stretch>
                  </pic:blipFill>
                  <pic:spPr>
                    <a:xfrm>
                      <a:off x="0" y="0"/>
                      <a:ext cx="4155440" cy="2071370"/>
                    </a:xfrm>
                    <a:prstGeom prst="rect">
                      <a:avLst/>
                    </a:prstGeom>
                  </pic:spPr>
                </pic:pic>
              </a:graphicData>
            </a:graphic>
          </wp:inline>
        </w:drawing>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各种状态下可以进行的操作</w:t>
      </w:r>
    </w:p>
    <w:tbl>
      <w:tblPr>
        <w:tblStyle w:val="29"/>
        <w:tblW w:w="5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草稿</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撤回</w:t>
            </w:r>
          </w:p>
        </w:tc>
        <w:tc>
          <w:tcPr>
            <w:tcW w:w="407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废弃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不可进行任何操作</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作废之后，不可进行任何操作</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发文公告管理列表页面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 xml:space="preserve">创建人  </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开始时间 ~结束时间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日期区间选择器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操作包括【置顶】【发布】【撤回】【编辑】【作废】</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w:t>
            </w:r>
            <w:r>
              <w:rPr>
                <w:rFonts w:hint="eastAsia" w:ascii="微软雅黑" w:hAnsi="微软雅黑" w:eastAsia="微软雅黑" w:cs="微软雅黑"/>
                <w:color w:val="000000" w:themeColor="text1"/>
                <w:szCs w:val="21"/>
                <w:lang w:val="en-US" w:eastAsia="zh-CN"/>
                <w14:textFill>
                  <w14:solidFill>
                    <w14:schemeClr w14:val="tx1"/>
                  </w14:solidFill>
                </w14:textFill>
              </w:rPr>
              <w:t>发文公告</w:t>
            </w:r>
            <w:r>
              <w:rPr>
                <w:rFonts w:hint="eastAsia" w:ascii="微软雅黑" w:hAnsi="微软雅黑" w:eastAsia="微软雅黑" w:cs="微软雅黑"/>
                <w:color w:val="000000" w:themeColor="text1"/>
                <w:szCs w:val="21"/>
                <w14:textFill>
                  <w14:solidFill>
                    <w14:schemeClr w14:val="tx1"/>
                  </w14:solidFill>
                </w14:textFill>
              </w:rPr>
              <w:t>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点击置顶之后，发文在首页发文模块则处于置顶状态，置顶之后【置顶】变成【取消置顶】（两个按钮相互切换）。</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trike/>
                <w:dstrike w:val="0"/>
                <w:color w:val="000000" w:themeColor="text1"/>
                <w:lang w:val="en-US" w:eastAsia="zh-CN"/>
                <w14:textFill>
                  <w14:solidFill>
                    <w14:schemeClr w14:val="tx1"/>
                  </w14:solidFill>
                </w14:textFill>
              </w:rPr>
              <w:t>置顶发文最多三个，当置顶发文超过三个时提示：置顶发文最多三个</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点击发布之后，相应发文则处于发布状态，展示在用户端发文公告列表和首页发文模块。</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提示：发布成功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撤回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点击撤回之后，则撤回【发布】状态下的发文，状态修改为撤回</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提示：撤回成功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作废</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任何状态下的发文作废之后，不会展示也不能做任何操作</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弹窗提示：作废之后，发文将失效，是否作废？</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r>
              <w:rPr>
                <w:rFonts w:hint="eastAsia" w:ascii="微软雅黑" w:hAnsi="微软雅黑" w:eastAsia="微软雅黑" w:cs="微软雅黑"/>
                <w:color w:val="000000" w:themeColor="text1"/>
                <w:lang w:val="en-US" w:eastAsia="zh-CN"/>
                <w14:textFill>
                  <w14:solidFill>
                    <w14:schemeClr w14:val="tx1"/>
                  </w14:solidFill>
                </w14:textFill>
              </w:rPr>
              <w:t>点击确认则进行作废，取消则返回列表页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处于【草稿】和【撤回】状态下的发文，点击编辑之后，则可对文章内容进行修改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新增发文公告页面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6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1714"/>
        <w:gridCol w:w="1034"/>
        <w:gridCol w:w="4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来自数据字典【发文公告类型】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是否定时发布</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内容</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富文本编辑器</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附件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文件上传控件</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可上传多个文件</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选择【是】时，则发文置顶到【发文公告】和首页发文公告模块，前提条件置顶发文数量不超过3</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是否定时发布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选择是时，则展示出【日期时间选择器】（必填），选择完发布时间之后，则在所选择的时间点发布发文</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所选择的发布日期时间不早于当前时间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点击上传文件弹出文件上传框</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可上传多个文件，格式:pdf,excel,ppt,word,txt,rar,zip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点击保存之后，则将发文保存为【草稿】状态，若有必填项未填则进行红框提示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2" w:name="_Toc5282"/>
      <w:r>
        <w:rPr>
          <w:rFonts w:hint="eastAsia" w:ascii="微软雅黑" w:hAnsi="微软雅黑" w:eastAsia="微软雅黑" w:cs="微软雅黑"/>
          <w:color w:val="000000" w:themeColor="text1"/>
          <w14:textFill>
            <w14:solidFill>
              <w14:schemeClr w14:val="tx1"/>
            </w14:solidFill>
          </w14:textFill>
        </w:rPr>
        <w:t>发文公告</w:t>
      </w:r>
      <w:bookmarkEnd w:id="92"/>
    </w:p>
    <w:p>
      <w:pPr>
        <w:pStyle w:val="4"/>
        <w:rPr>
          <w:rFonts w:ascii="微软雅黑" w:hAnsi="微软雅黑" w:eastAsia="微软雅黑" w:cs="微软雅黑"/>
          <w:color w:val="000000" w:themeColor="text1"/>
          <w14:textFill>
            <w14:solidFill>
              <w14:schemeClr w14:val="tx1"/>
            </w14:solidFill>
          </w14:textFill>
        </w:rPr>
      </w:pPr>
      <w:bookmarkStart w:id="93" w:name="_Toc2419"/>
      <w:r>
        <w:rPr>
          <w:rFonts w:hint="eastAsia" w:ascii="微软雅黑" w:hAnsi="微软雅黑" w:eastAsia="微软雅黑" w:cs="微软雅黑"/>
          <w:color w:val="000000" w:themeColor="text1"/>
          <w14:textFill>
            <w14:solidFill>
              <w14:schemeClr w14:val="tx1"/>
            </w14:solidFill>
          </w14:textFill>
        </w:rPr>
        <w:t>概述</w:t>
      </w:r>
      <w:bookmarkEnd w:id="93"/>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94" w:name="_Toc7830"/>
      <w:r>
        <w:rPr>
          <w:rFonts w:hint="eastAsia" w:ascii="微软雅黑" w:hAnsi="微软雅黑" w:eastAsia="微软雅黑" w:cs="微软雅黑"/>
          <w:color w:val="000000" w:themeColor="text1"/>
          <w14:textFill>
            <w14:solidFill>
              <w14:schemeClr w14:val="tx1"/>
            </w14:solidFill>
          </w14:textFill>
        </w:rPr>
        <w:t>功能入口</w:t>
      </w:r>
      <w:bookmarkEnd w:id="94"/>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95" w:name="_Toc26330"/>
      <w:r>
        <w:rPr>
          <w:rFonts w:hint="eastAsia" w:ascii="微软雅黑" w:hAnsi="微软雅黑" w:eastAsia="微软雅黑" w:cs="微软雅黑"/>
          <w:color w:val="000000" w:themeColor="text1"/>
          <w14:textFill>
            <w14:solidFill>
              <w14:schemeClr w14:val="tx1"/>
            </w14:solidFill>
          </w14:textFill>
        </w:rPr>
        <w:t>用户界面</w:t>
      </w:r>
      <w:bookmarkEnd w:id="95"/>
    </w:p>
    <w:p>
      <w:r>
        <w:drawing>
          <wp:inline distT="0" distB="0" distL="114300" distR="114300">
            <wp:extent cx="5276850" cy="3192145"/>
            <wp:effectExtent l="0" t="0" r="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5"/>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6"/>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7"/>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展示所有发文公告到列表中，按发布时间倒序排序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6"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96"/>
    </w:p>
    <w:p>
      <w:pPr>
        <w:pStyle w:val="4"/>
        <w:rPr>
          <w:rFonts w:ascii="微软雅黑" w:hAnsi="微软雅黑" w:eastAsia="微软雅黑" w:cs="微软雅黑"/>
          <w:color w:val="000000" w:themeColor="text1"/>
          <w14:textFill>
            <w14:solidFill>
              <w14:schemeClr w14:val="tx1"/>
            </w14:solidFill>
          </w14:textFill>
        </w:rPr>
      </w:pPr>
      <w:bookmarkStart w:id="97" w:name="_Toc1580"/>
      <w:r>
        <w:rPr>
          <w:rFonts w:hint="eastAsia" w:ascii="微软雅黑" w:hAnsi="微软雅黑" w:eastAsia="微软雅黑" w:cs="微软雅黑"/>
          <w:color w:val="000000" w:themeColor="text1"/>
          <w14:textFill>
            <w14:solidFill>
              <w14:schemeClr w14:val="tx1"/>
            </w14:solidFill>
          </w14:textFill>
        </w:rPr>
        <w:t>概述</w:t>
      </w:r>
      <w:bookmarkEnd w:id="97"/>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98" w:name="_Toc11752"/>
      <w:r>
        <w:rPr>
          <w:rFonts w:hint="eastAsia" w:ascii="微软雅黑" w:hAnsi="微软雅黑" w:eastAsia="微软雅黑" w:cs="微软雅黑"/>
          <w:color w:val="000000" w:themeColor="text1"/>
          <w14:textFill>
            <w14:solidFill>
              <w14:schemeClr w14:val="tx1"/>
            </w14:solidFill>
          </w14:textFill>
        </w:rPr>
        <w:t>功能入口</w:t>
      </w:r>
      <w:bookmarkEnd w:id="98"/>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99" w:name="_Toc15013"/>
      <w:r>
        <w:rPr>
          <w:rFonts w:hint="eastAsia" w:ascii="微软雅黑" w:hAnsi="微软雅黑" w:eastAsia="微软雅黑" w:cs="微软雅黑"/>
          <w:color w:val="000000" w:themeColor="text1"/>
          <w14:textFill>
            <w14:solidFill>
              <w14:schemeClr w14:val="tx1"/>
            </w14:solidFill>
          </w14:textFill>
        </w:rPr>
        <w:t>用户界面</w:t>
      </w:r>
      <w:bookmarkEnd w:id="99"/>
    </w:p>
    <w:p>
      <w:pPr>
        <w:rPr>
          <w:rFonts w:hint="eastAsia" w:ascii="微软雅黑" w:hAnsi="微软雅黑" w:eastAsia="微软雅黑" w:cs="微软雅黑"/>
          <w:color w:val="FF0000"/>
          <w:kern w:val="0"/>
          <w:sz w:val="24"/>
          <w:szCs w:val="21"/>
        </w:rPr>
      </w:pPr>
      <w:r>
        <w:drawing>
          <wp:inline distT="0" distB="0" distL="114300" distR="114300">
            <wp:extent cx="5273040" cy="3041650"/>
            <wp:effectExtent l="0" t="0" r="3810" b="635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7"/>
                    <a:stretch>
                      <a:fillRect/>
                    </a:stretch>
                  </pic:blipFill>
                  <pic:spPr>
                    <a:xfrm>
                      <a:off x="0" y="0"/>
                      <a:ext cx="5273040" cy="304165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类型【最新】中展示所有类型的发文，除置顶的发文之外，其余按时间最新在前，置顶的发布类型名高亮显示（橙红色）</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发文公告模块</w:t>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【最新】以及发文公告类型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点击跳转到发文详情页面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更多</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点击跳转到用户端发文公告列表页面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0"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00"/>
    </w:p>
    <w:p>
      <w:pPr>
        <w:pStyle w:val="4"/>
        <w:rPr>
          <w:rFonts w:ascii="微软雅黑" w:hAnsi="微软雅黑" w:eastAsia="微软雅黑" w:cs="微软雅黑"/>
          <w:color w:val="000000" w:themeColor="text1"/>
          <w14:textFill>
            <w14:solidFill>
              <w14:schemeClr w14:val="tx1"/>
            </w14:solidFill>
          </w14:textFill>
        </w:rPr>
      </w:pPr>
      <w:bookmarkStart w:id="101" w:name="_Toc1184"/>
      <w:r>
        <w:rPr>
          <w:rFonts w:hint="eastAsia" w:ascii="微软雅黑" w:hAnsi="微软雅黑" w:eastAsia="微软雅黑" w:cs="微软雅黑"/>
          <w:color w:val="000000" w:themeColor="text1"/>
          <w14:textFill>
            <w14:solidFill>
              <w14:schemeClr w14:val="tx1"/>
            </w14:solidFill>
          </w14:textFill>
        </w:rPr>
        <w:t>概述</w:t>
      </w:r>
      <w:bookmarkEnd w:id="10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02" w:name="_Toc15595"/>
      <w:r>
        <w:rPr>
          <w:rFonts w:hint="eastAsia" w:ascii="微软雅黑" w:hAnsi="微软雅黑" w:eastAsia="微软雅黑" w:cs="微软雅黑"/>
          <w:color w:val="000000" w:themeColor="text1"/>
          <w14:textFill>
            <w14:solidFill>
              <w14:schemeClr w14:val="tx1"/>
            </w14:solidFill>
          </w14:textFill>
        </w:rPr>
        <w:t>功能入口</w:t>
      </w:r>
      <w:bookmarkEnd w:id="102"/>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03" w:name="_Toc13511"/>
      <w:r>
        <w:rPr>
          <w:rFonts w:hint="eastAsia" w:ascii="微软雅黑" w:hAnsi="微软雅黑" w:eastAsia="微软雅黑" w:cs="微软雅黑"/>
          <w:color w:val="000000" w:themeColor="text1"/>
          <w14:textFill>
            <w14:solidFill>
              <w14:schemeClr w14:val="tx1"/>
            </w14:solidFill>
          </w14:textFill>
        </w:rPr>
        <w:t>用户界面</w:t>
      </w:r>
      <w:bookmarkEnd w:id="103"/>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选择要配置的项目类型（数据来源【业务动因】中的项目类型），每个类型只能配置一次。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19"/>
        </w:numPr>
        <w:rPr>
          <w:rFonts w:hint="default"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strike/>
          <w:dstrike w:val="0"/>
          <w:color w:val="C00000"/>
          <w:kern w:val="0"/>
          <w:sz w:val="24"/>
          <w:szCs w:val="21"/>
          <w:lang w:val="en-US" w:eastAsia="zh-CN" w:bidi="ar-SA"/>
        </w:rPr>
        <w:t>Tpros文件（待定）</w:t>
      </w: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4"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04"/>
    </w:p>
    <w:p>
      <w:pPr>
        <w:pStyle w:val="4"/>
        <w:rPr>
          <w:rFonts w:ascii="微软雅黑" w:hAnsi="微软雅黑" w:eastAsia="微软雅黑" w:cs="微软雅黑"/>
          <w:color w:val="000000" w:themeColor="text1"/>
          <w14:textFill>
            <w14:solidFill>
              <w14:schemeClr w14:val="tx1"/>
            </w14:solidFill>
          </w14:textFill>
        </w:rPr>
      </w:pPr>
      <w:bookmarkStart w:id="105" w:name="_Toc31119"/>
      <w:r>
        <w:rPr>
          <w:rFonts w:hint="eastAsia" w:ascii="微软雅黑" w:hAnsi="微软雅黑" w:eastAsia="微软雅黑" w:cs="微软雅黑"/>
          <w:color w:val="000000" w:themeColor="text1"/>
          <w14:textFill>
            <w14:solidFill>
              <w14:schemeClr w14:val="tx1"/>
            </w14:solidFill>
          </w14:textFill>
        </w:rPr>
        <w:t>概述</w:t>
      </w:r>
      <w:bookmarkEnd w:id="105"/>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06" w:name="_Toc616"/>
      <w:r>
        <w:rPr>
          <w:rFonts w:hint="eastAsia" w:ascii="微软雅黑" w:hAnsi="微软雅黑" w:eastAsia="微软雅黑" w:cs="微软雅黑"/>
          <w:color w:val="000000" w:themeColor="text1"/>
          <w14:textFill>
            <w14:solidFill>
              <w14:schemeClr w14:val="tx1"/>
            </w14:solidFill>
          </w14:textFill>
        </w:rPr>
        <w:t>功能入口</w:t>
      </w:r>
      <w:bookmarkEnd w:id="10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07" w:name="_Toc12724"/>
      <w:r>
        <w:rPr>
          <w:rFonts w:hint="eastAsia" w:ascii="微软雅黑" w:hAnsi="微软雅黑" w:eastAsia="微软雅黑" w:cs="微软雅黑"/>
          <w:color w:val="000000" w:themeColor="text1"/>
          <w14:textFill>
            <w14:solidFill>
              <w14:schemeClr w14:val="tx1"/>
            </w14:solidFill>
          </w14:textFill>
        </w:rPr>
        <w:t>用户界面</w:t>
      </w:r>
      <w:bookmarkEnd w:id="107"/>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8"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108"/>
    </w:p>
    <w:p>
      <w:pPr>
        <w:pStyle w:val="4"/>
        <w:rPr>
          <w:rFonts w:ascii="微软雅黑" w:hAnsi="微软雅黑" w:eastAsia="微软雅黑" w:cs="微软雅黑"/>
          <w:color w:val="000000" w:themeColor="text1"/>
          <w14:textFill>
            <w14:solidFill>
              <w14:schemeClr w14:val="tx1"/>
            </w14:solidFill>
          </w14:textFill>
        </w:rPr>
      </w:pPr>
      <w:bookmarkStart w:id="109" w:name="_Toc28047"/>
      <w:r>
        <w:rPr>
          <w:rFonts w:hint="eastAsia" w:ascii="微软雅黑" w:hAnsi="微软雅黑" w:eastAsia="微软雅黑" w:cs="微软雅黑"/>
          <w:color w:val="000000" w:themeColor="text1"/>
          <w14:textFill>
            <w14:solidFill>
              <w14:schemeClr w14:val="tx1"/>
            </w14:solidFill>
          </w14:textFill>
        </w:rPr>
        <w:t>概述</w:t>
      </w:r>
      <w:bookmarkEnd w:id="109"/>
    </w:p>
    <w:p>
      <w:pPr>
        <w:pStyle w:val="58"/>
        <w:numPr>
          <w:ilvl w:val="0"/>
          <w:numId w:val="21"/>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110"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110"/>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111" w:name="_Toc18085"/>
      <w:r>
        <w:rPr>
          <w:rFonts w:hint="eastAsia" w:ascii="微软雅黑" w:hAnsi="微软雅黑" w:eastAsia="微软雅黑" w:cs="微软雅黑"/>
          <w:color w:val="000000" w:themeColor="text1"/>
          <w14:textFill>
            <w14:solidFill>
              <w14:schemeClr w14:val="tx1"/>
            </w14:solidFill>
          </w14:textFill>
        </w:rPr>
        <w:t>具体优化点</w:t>
      </w:r>
      <w:bookmarkEnd w:id="111"/>
    </w:p>
    <w:p/>
    <w:p/>
    <w:p>
      <w:pPr>
        <w:pStyle w:val="5"/>
        <w:rPr>
          <w:rFonts w:ascii="微软雅黑" w:hAnsi="微软雅黑" w:eastAsia="微软雅黑"/>
        </w:rPr>
      </w:pPr>
      <w:bookmarkStart w:id="112" w:name="_Toc12418"/>
      <w:r>
        <w:rPr>
          <w:rFonts w:hint="eastAsia" w:ascii="微软雅黑" w:hAnsi="微软雅黑" w:eastAsia="微软雅黑"/>
        </w:rPr>
        <w:t>审批优化</w:t>
      </w:r>
      <w:bookmarkEnd w:id="112"/>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2"/>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3"/>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2"/>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22"/>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113" w:name="_Toc12348"/>
      <w:bookmarkStart w:id="114"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113"/>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114"/>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4"/>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23"/>
        </w:numPr>
        <w:ind w:firstLineChars="0"/>
        <w:rPr>
          <w:rFonts w:ascii="微软雅黑" w:hAnsi="微软雅黑" w:eastAsia="微软雅黑" w:cs="微软雅黑"/>
          <w:color w:val="auto"/>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5"/>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6"/>
                    <a:stretch>
                      <a:fillRect/>
                    </a:stretch>
                  </pic:blipFill>
                  <pic:spPr>
                    <a:xfrm>
                      <a:off x="0" y="0"/>
                      <a:ext cx="5268595" cy="2604135"/>
                    </a:xfrm>
                    <a:prstGeom prst="rect">
                      <a:avLst/>
                    </a:prstGeom>
                    <a:noFill/>
                    <a:ln>
                      <a:noFill/>
                    </a:ln>
                  </pic:spPr>
                </pic:pic>
              </a:graphicData>
            </a:graphic>
          </wp:inline>
        </w:drawing>
      </w: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color w:val="auto"/>
          <w:sz w:val="24"/>
          <w:lang w:val="en-US" w:eastAsia="zh-CN"/>
        </w:rPr>
        <w:t>同个预算年度</w:t>
      </w:r>
      <w:r>
        <w:rPr>
          <w:rFonts w:hint="eastAsia" w:ascii="微软雅黑" w:hAnsi="微软雅黑" w:eastAsia="微软雅黑" w:cs="微软雅黑"/>
          <w:sz w:val="24"/>
          <w:lang w:val="en-US" w:eastAsia="zh-CN"/>
        </w:rPr>
        <w:t>，</w:t>
      </w: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b/>
          <w:bCs/>
          <w:color w:val="auto"/>
          <w:sz w:val="24"/>
          <w:lang w:val="en-US" w:eastAsia="zh-CN"/>
        </w:rPr>
        <w:t>后续传递给SAP的项目编码只传递推广费类型的项目</w:t>
      </w:r>
      <w:r>
        <w:rPr>
          <w:rFonts w:hint="eastAsia" w:ascii="微软雅黑" w:hAnsi="微软雅黑" w:eastAsia="微软雅黑" w:cs="微软雅黑"/>
          <w:color w:val="auto"/>
          <w:sz w:val="24"/>
          <w:lang w:val="en-US" w:eastAsia="zh-CN"/>
        </w:rPr>
        <w:t>.</w:t>
      </w:r>
      <w:r>
        <w:rPr>
          <w:rFonts w:hint="eastAsia" w:ascii="微软雅黑" w:hAnsi="微软雅黑" w:eastAsia="微软雅黑" w:cs="微软雅黑"/>
          <w:color w:val="auto"/>
          <w:sz w:val="24"/>
          <w:lang w:val="en-US" w:eastAsia="zh-CN"/>
        </w:rPr>
        <w:br w:type="textWrapping"/>
      </w:r>
      <w:r>
        <w:rPr>
          <w:rFonts w:hint="eastAsia" w:ascii="微软雅黑" w:hAnsi="微软雅黑" w:eastAsia="微软雅黑" w:cs="微软雅黑"/>
          <w:color w:val="auto"/>
          <w:sz w:val="24"/>
          <w:lang w:val="en-US" w:eastAsia="zh-CN"/>
        </w:rPr>
        <w:t>传递给外部系统时，【项目名称】为【信息详情】中的【项目名称】，【项目代码】用预算分配明细中的【项目代码】来传递，如需要传递【预算分配明细】则只传递对应项目（</w:t>
      </w:r>
      <w:r>
        <w:rPr>
          <w:rFonts w:hint="eastAsia" w:ascii="微软雅黑" w:hAnsi="微软雅黑" w:eastAsia="微软雅黑" w:cs="微软雅黑"/>
          <w:b/>
          <w:bCs/>
          <w:color w:val="auto"/>
          <w:sz w:val="24"/>
          <w:lang w:val="en-US" w:eastAsia="zh-CN"/>
        </w:rPr>
        <w:t>项目代码相同</w:t>
      </w:r>
      <w:r>
        <w:rPr>
          <w:rFonts w:hint="eastAsia" w:ascii="微软雅黑" w:hAnsi="微软雅黑" w:eastAsia="微软雅黑" w:cs="微软雅黑"/>
          <w:color w:val="auto"/>
          <w:sz w:val="24"/>
          <w:lang w:val="en-US" w:eastAsia="zh-CN"/>
        </w:rPr>
        <w:t>）的【预算分配明细】。</w:t>
      </w:r>
    </w:p>
    <w:p>
      <w:pPr>
        <w:pStyle w:val="58"/>
        <w:numPr>
          <w:ilvl w:val="0"/>
          <w:numId w:val="0"/>
        </w:numPr>
        <w:ind w:leftChars="0" w:firstLine="420" w:firstLineChars="0"/>
        <w:rPr>
          <w:rFonts w:hint="eastAsia" w:ascii="微软雅黑" w:hAnsi="微软雅黑" w:eastAsia="微软雅黑" w:cs="微软雅黑"/>
          <w:color w:val="auto"/>
          <w:sz w:val="24"/>
          <w:lang w:val="en-US" w:eastAsia="zh-CN"/>
        </w:rPr>
      </w:pP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strike/>
          <w:dstrike w:val="0"/>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7" r:link="rId38"/>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115" w:name="_Toc25354"/>
      <w:r>
        <w:rPr>
          <w:rFonts w:hint="eastAsia" w:ascii="微软雅黑" w:hAnsi="微软雅黑" w:eastAsia="微软雅黑"/>
          <w:sz w:val="24"/>
          <w:szCs w:val="24"/>
        </w:rPr>
        <w:t>项目状态</w:t>
      </w:r>
      <w:bookmarkEnd w:id="115"/>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9"/>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116" w:name="_Toc14049"/>
      <w:r>
        <w:rPr>
          <w:rFonts w:hint="eastAsia" w:ascii="微软雅黑" w:hAnsi="微软雅黑" w:eastAsia="微软雅黑"/>
          <w:sz w:val="24"/>
          <w:szCs w:val="24"/>
        </w:rPr>
        <w:t>项目角色</w:t>
      </w:r>
      <w:bookmarkEnd w:id="116"/>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40"/>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117" w:name="_Toc12300"/>
      <w:r>
        <w:rPr>
          <w:rFonts w:hint="eastAsia" w:ascii="微软雅黑" w:hAnsi="微软雅黑" w:eastAsia="微软雅黑"/>
          <w:sz w:val="24"/>
          <w:szCs w:val="24"/>
        </w:rPr>
        <w:t>海外部署</w:t>
      </w:r>
      <w:bookmarkEnd w:id="117"/>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pStyle w:val="5"/>
        <w:rPr>
          <w:rFonts w:ascii="微软雅黑" w:hAnsi="微软雅黑" w:eastAsia="微软雅黑"/>
          <w:sz w:val="24"/>
          <w:szCs w:val="24"/>
        </w:rPr>
      </w:pPr>
      <w:r>
        <w:rPr>
          <w:rFonts w:hint="eastAsia" w:ascii="微软雅黑" w:hAnsi="微软雅黑" w:eastAsia="微软雅黑"/>
          <w:sz w:val="24"/>
          <w:szCs w:val="24"/>
          <w:lang w:val="en-US" w:eastAsia="zh-CN"/>
        </w:rPr>
        <w:t>20231130功能优化</w:t>
      </w:r>
    </w:p>
    <w:p>
      <w:pPr>
        <w:numPr>
          <w:ilvl w:val="0"/>
          <w:numId w:val="24"/>
        </w:numPr>
        <w:ind w:left="425" w:leftChars="0" w:hanging="425"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页面调整</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【项目详情】页，【项目预算总金额】，【项目预算剩余金额】字段名改为【预算总金额】，【预算剩余金额】。</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除了【新增项目】和【编辑项目】页面，【项目详情】页面中【附件上传】变成【附件列表】，仅展示已上传的文件，不展示【附件上传】按钮。</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隐藏项目详情中的【任务管理】【交付物】两个tab。</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【新增项目】和【项目详情】页面的大标题旁，添加一行文本“申请报销流程前必需上传合同信息”。</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default" w:ascii="微软雅黑" w:hAnsi="微软雅黑" w:eastAsia="微软雅黑" w:cs="微软雅黑"/>
          <w:kern w:val="0"/>
          <w:sz w:val="24"/>
          <w:szCs w:val="21"/>
          <w:lang w:val="en-US" w:eastAsia="zh-CN"/>
        </w:rPr>
        <w:t>BPC传输的预算主数据</w:t>
      </w:r>
      <w:r>
        <w:rPr>
          <w:rFonts w:hint="eastAsia" w:ascii="微软雅黑" w:hAnsi="微软雅黑" w:eastAsia="微软雅黑" w:cs="微软雅黑"/>
          <w:kern w:val="0"/>
          <w:sz w:val="24"/>
          <w:szCs w:val="21"/>
          <w:lang w:val="en-US" w:eastAsia="zh-CN"/>
        </w:rPr>
        <w:t>，业务数据均</w:t>
      </w:r>
      <w:r>
        <w:rPr>
          <w:rFonts w:hint="default" w:ascii="微软雅黑" w:hAnsi="微软雅黑" w:eastAsia="微软雅黑" w:cs="微软雅黑"/>
          <w:kern w:val="0"/>
          <w:sz w:val="24"/>
          <w:szCs w:val="21"/>
          <w:lang w:val="en-US" w:eastAsia="zh-CN"/>
        </w:rPr>
        <w:t>不可修改</w:t>
      </w:r>
      <w:r>
        <w:rPr>
          <w:rFonts w:hint="eastAsia" w:ascii="微软雅黑" w:hAnsi="微软雅黑" w:eastAsia="微软雅黑" w:cs="微软雅黑"/>
          <w:strike/>
          <w:dstrike w:val="0"/>
          <w:kern w:val="0"/>
          <w:sz w:val="24"/>
          <w:szCs w:val="21"/>
          <w:lang w:val="en-US" w:eastAsia="zh-CN"/>
        </w:rPr>
        <w:t>（隐藏编辑按钮）</w:t>
      </w:r>
      <w:r>
        <w:rPr>
          <w:rFonts w:hint="default" w:ascii="微软雅黑" w:hAnsi="微软雅黑" w:eastAsia="微软雅黑" w:cs="微软雅黑"/>
          <w:kern w:val="0"/>
          <w:sz w:val="24"/>
          <w:szCs w:val="21"/>
          <w:lang w:val="en-US" w:eastAsia="zh-CN"/>
        </w:rPr>
        <w:t>，BPC预算跟随BPC端实时更新，对方推送就接收</w:t>
      </w:r>
      <w:r>
        <w:rPr>
          <w:rFonts w:hint="eastAsia" w:ascii="微软雅黑" w:hAnsi="微软雅黑" w:eastAsia="微软雅黑" w:cs="微软雅黑"/>
          <w:kern w:val="0"/>
          <w:sz w:val="24"/>
          <w:szCs w:val="21"/>
          <w:lang w:val="en-US" w:eastAsia="zh-CN"/>
        </w:rPr>
        <w:t>。保留项目负责人可以指定的功能。</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项目</w:t>
      </w:r>
      <w:r>
        <w:rPr>
          <w:rFonts w:hint="eastAsia" w:ascii="微软雅黑" w:hAnsi="微软雅黑" w:eastAsia="微软雅黑" w:cs="微软雅黑"/>
          <w:kern w:val="0"/>
          <w:sz w:val="24"/>
          <w:szCs w:val="21"/>
          <w:lang w:val="en-US" w:eastAsia="zh-CN"/>
        </w:rPr>
        <w:t>统计】</w:t>
      </w:r>
      <w:r>
        <w:rPr>
          <w:rFonts w:hint="default" w:ascii="微软雅黑" w:hAnsi="微软雅黑" w:eastAsia="微软雅黑" w:cs="微软雅黑"/>
          <w:kern w:val="0"/>
          <w:sz w:val="24"/>
          <w:szCs w:val="21"/>
          <w:lang w:val="en-US" w:eastAsia="zh-CN"/>
        </w:rPr>
        <w:t>导出时</w:t>
      </w: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年份</w:t>
      </w:r>
      <w:r>
        <w:rPr>
          <w:rFonts w:hint="eastAsia" w:ascii="微软雅黑" w:hAnsi="微软雅黑" w:eastAsia="微软雅黑" w:cs="微软雅黑"/>
          <w:kern w:val="0"/>
          <w:sz w:val="24"/>
          <w:szCs w:val="21"/>
          <w:lang w:val="en-US" w:eastAsia="zh-CN"/>
        </w:rPr>
        <w:t>可</w:t>
      </w:r>
      <w:r>
        <w:rPr>
          <w:rFonts w:hint="default" w:ascii="微软雅黑" w:hAnsi="微软雅黑" w:eastAsia="微软雅黑" w:cs="微软雅黑"/>
          <w:kern w:val="0"/>
          <w:sz w:val="24"/>
          <w:szCs w:val="21"/>
          <w:lang w:val="en-US" w:eastAsia="zh-CN"/>
        </w:rPr>
        <w:t>多选，</w:t>
      </w:r>
      <w:r>
        <w:rPr>
          <w:rFonts w:hint="eastAsia" w:ascii="微软雅黑" w:hAnsi="微软雅黑" w:eastAsia="微软雅黑" w:cs="微软雅黑"/>
          <w:kern w:val="0"/>
          <w:sz w:val="24"/>
          <w:szCs w:val="21"/>
          <w:lang w:val="en-US" w:eastAsia="zh-CN"/>
        </w:rPr>
        <w:t>多个年份的数据分开为多个sheet</w:t>
      </w:r>
      <w:r>
        <w:rPr>
          <w:rFonts w:hint="default" w:ascii="微软雅黑" w:hAnsi="微软雅黑" w:eastAsia="微软雅黑" w:cs="微软雅黑"/>
          <w:kern w:val="0"/>
          <w:sz w:val="24"/>
          <w:szCs w:val="21"/>
          <w:lang w:val="en-US" w:eastAsia="zh-CN"/>
        </w:rPr>
        <w:t>放在一个excel内</w:t>
      </w:r>
      <w:r>
        <w:rPr>
          <w:rFonts w:hint="eastAsia" w:ascii="微软雅黑" w:hAnsi="微软雅黑" w:eastAsia="微软雅黑" w:cs="微软雅黑"/>
          <w:kern w:val="0"/>
          <w:sz w:val="24"/>
          <w:szCs w:val="21"/>
          <w:lang w:val="en-US" w:eastAsia="zh-CN"/>
        </w:rPr>
        <w:t>，sheet名称为相应的年份。没有数据的年份不提供给用户选择。</w:t>
      </w: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合同信息上传</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概述</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在【新增项目】和【项目详情】页面增加【合同信息】tab页，在【新增项目】和【项目详情】（非审批通过状态）页面时合同信息状态为置灰不可填写，在项目审批通过之后，【项目创建者】和【项目负责人】可以编辑合同信息，在提交合同信息后，合同信息不可编辑，并发送项目信息给外部系统。</w:t>
      </w:r>
    </w:p>
    <w:p>
      <w:pPr>
        <w:numPr>
          <w:ilvl w:val="0"/>
          <w:numId w:val="0"/>
        </w:numPr>
        <w:ind w:left="420" w:leftChars="0"/>
        <w:rPr>
          <w:rFonts w:hint="default" w:ascii="微软雅黑" w:hAnsi="微软雅黑" w:eastAsia="微软雅黑" w:cs="微软雅黑"/>
          <w:kern w:val="0"/>
          <w:sz w:val="24"/>
          <w:szCs w:val="21"/>
          <w:lang w:val="en-US" w:eastAsia="zh-CN"/>
        </w:rPr>
      </w:pP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【用户界面】</w:t>
      </w:r>
    </w:p>
    <w:p>
      <w:pPr>
        <w:numPr>
          <w:ilvl w:val="0"/>
          <w:numId w:val="0"/>
        </w:numPr>
        <w:ind w:left="420" w:left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新增项目,项目详情（审批中）</w:t>
      </w:r>
    </w:p>
    <w:p>
      <w:pPr>
        <w:numPr>
          <w:ilvl w:val="0"/>
          <w:numId w:val="0"/>
        </w:numPr>
        <w:ind w:left="420" w:leftChars="0"/>
      </w:pPr>
      <w:r>
        <w:drawing>
          <wp:inline distT="0" distB="0" distL="114300" distR="114300">
            <wp:extent cx="5264150" cy="2264410"/>
            <wp:effectExtent l="0" t="0" r="12700" b="254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1"/>
                    <a:stretch>
                      <a:fillRect/>
                    </a:stretch>
                  </pic:blipFill>
                  <pic:spPr>
                    <a:xfrm>
                      <a:off x="0" y="0"/>
                      <a:ext cx="5264150" cy="2264410"/>
                    </a:xfrm>
                    <a:prstGeom prst="rect">
                      <a:avLst/>
                    </a:prstGeom>
                    <a:noFill/>
                    <a:ln>
                      <a:noFill/>
                    </a:ln>
                  </pic:spPr>
                </pic:pic>
              </a:graphicData>
            </a:graphic>
          </wp:inline>
        </w:drawing>
      </w:r>
    </w:p>
    <w:p>
      <w:pPr>
        <w:numPr>
          <w:ilvl w:val="0"/>
          <w:numId w:val="0"/>
        </w:numPr>
        <w:ind w:left="420" w:leftChars="0"/>
      </w:pPr>
    </w:p>
    <w:p>
      <w:pPr>
        <w:numPr>
          <w:ilvl w:val="0"/>
          <w:numId w:val="0"/>
        </w:numPr>
        <w:ind w:left="420" w:left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合同信息置灰，不可编辑</w:t>
      </w:r>
    </w:p>
    <w:p>
      <w:pPr>
        <w:ind w:firstLine="420" w:firstLineChars="0"/>
      </w:pPr>
    </w:p>
    <w:p>
      <w:pPr>
        <w:numPr>
          <w:ilvl w:val="0"/>
          <w:numId w:val="0"/>
        </w:numPr>
        <w:ind w:left="420" w:left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查看项目信息（已审批通过）</w:t>
      </w:r>
    </w:p>
    <w:p>
      <w:pPr>
        <w:numPr>
          <w:ilvl w:val="0"/>
          <w:numId w:val="0"/>
        </w:numPr>
        <w:ind w:left="420" w:leftChars="0"/>
        <w:rPr>
          <w:rFonts w:hint="eastAsia" w:eastAsia="宋体"/>
          <w:lang w:eastAsia="zh-CN"/>
        </w:rPr>
      </w:pPr>
      <w:r>
        <w:rPr>
          <w:rFonts w:hint="eastAsia" w:eastAsia="宋体"/>
          <w:lang w:eastAsia="zh-CN"/>
        </w:rPr>
        <w:drawing>
          <wp:inline distT="0" distB="0" distL="114300" distR="114300">
            <wp:extent cx="5276215" cy="3263900"/>
            <wp:effectExtent l="0" t="0" r="6985" b="0"/>
            <wp:docPr id="28" name="图片 28" descr="169934411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699344111039"/>
                    <pic:cNvPicPr>
                      <a:picLocks noChangeAspect="1"/>
                    </pic:cNvPicPr>
                  </pic:nvPicPr>
                  <pic:blipFill>
                    <a:blip r:embed="rId42"/>
                    <a:stretch>
                      <a:fillRect/>
                    </a:stretch>
                  </pic:blipFill>
                  <pic:spPr>
                    <a:xfrm>
                      <a:off x="0" y="0"/>
                      <a:ext cx="5276215" cy="3263900"/>
                    </a:xfrm>
                    <a:prstGeom prst="rect">
                      <a:avLst/>
                    </a:prstGeom>
                  </pic:spPr>
                </pic:pic>
              </a:graphicData>
            </a:graphic>
          </wp:inline>
        </w:drawing>
      </w:r>
    </w:p>
    <w:p>
      <w:pPr>
        <w:jc w:val="left"/>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auto"/>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合同金额</w:t>
            </w:r>
          </w:p>
        </w:tc>
        <w:tc>
          <w:tcPr>
            <w:tcW w:w="1943" w:type="dxa"/>
            <w:shd w:val="clear" w:color="auto" w:fill="auto"/>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数值框</w:t>
            </w:r>
          </w:p>
        </w:tc>
        <w:tc>
          <w:tcPr>
            <w:tcW w:w="4515" w:type="dxa"/>
            <w:shd w:val="clear" w:color="auto" w:fill="auto"/>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eastAsia="zh-CN"/>
                <w14:textFill>
                  <w14:solidFill>
                    <w14:schemeClr w14:val="tx1"/>
                  </w14:solidFill>
                </w14:textFill>
              </w:rPr>
              <w:t>中标供应商</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合同开始日期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合同截止日期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合同金额总和</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不可编辑，其值为所有合同模块的金额总和，保留小数点后两位。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auto"/>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合同[x]</w:t>
            </w:r>
          </w:p>
        </w:tc>
        <w:tc>
          <w:tcPr>
            <w:tcW w:w="1943" w:type="dxa"/>
            <w:shd w:val="clear" w:color="auto" w:fill="auto"/>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shd w:val="clear" w:color="auto" w:fill="auto"/>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每个合同模块信息的名称，命名规则为【模块X】，X表示模块的中文序号，从一开始。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合同金额</w:t>
            </w:r>
          </w:p>
        </w:tc>
        <w:tc>
          <w:tcPr>
            <w:tcW w:w="1943"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eastAsia="zh-CN"/>
                <w14:textFill>
                  <w14:solidFill>
                    <w14:schemeClr w14:val="tx1"/>
                  </w14:solidFill>
                </w14:textFill>
              </w:rPr>
              <w:t>中标供应商</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合同开始日期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合同截止日期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读取原来保存的数据</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t>添加合同文件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点击【添加合同文件】，弹出文件选择器上传合同文件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文件格式支持：</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PDF,EXCEL,WORD,PPT等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t>删除合同</w:t>
            </w: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[x]</w:t>
            </w: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strike w:val="0"/>
                <w:dstrike w:val="0"/>
                <w:color w:val="767171" w:themeColor="background2" w:themeShade="80"/>
                <w:szCs w:val="21"/>
                <w:lang w:val="en-US" w:eastAsia="zh-CN"/>
              </w:rPr>
              <w:t>X表示合同模块的中文序号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w:t>
            </w:r>
            <w:r>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t>删除合同</w:t>
            </w: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[x]】，则提示“是否删除合同X的所有内容”，确定则删除相应模块，否则返回</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删除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点击删除图标，则提示“是否删除文件”，点击【确认】，则移除相应的合同文件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删除按钮在上传文件名后面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添加合同信息</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点击则添加一个新的合同信息模块，命名为合同[X],如合同一，合同二....</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vAlign w:val="top"/>
          </w:tcPr>
          <w:p>
            <w:pPr>
              <w:keepNext w:val="0"/>
              <w:keepLines w:val="0"/>
              <w:suppressLineNumbers w:val="0"/>
              <w:spacing w:before="0" w:beforeAutospacing="0" w:after="0" w:afterAutospacing="0"/>
              <w:ind w:left="0" w:leftChars="0" w:right="0" w:rightChars="0"/>
              <w:rPr>
                <w:rFonts w:hint="eastAsia" w:ascii="微软雅黑" w:hAnsi="微软雅黑" w:eastAsia="微软雅黑" w:cs="微软雅黑"/>
                <w:strike w:val="0"/>
                <w:dstrike w:val="0"/>
                <w:color w:val="000000" w:themeColor="text1"/>
                <w:kern w:val="2"/>
                <w:sz w:val="21"/>
                <w:szCs w:val="21"/>
                <w:lang w:val="en-US" w:eastAsia="zh-CN" w:bidi="ar-SA"/>
                <w14:textFill>
                  <w14:solidFill>
                    <w14:schemeClr w14:val="tx1"/>
                  </w14:solidFill>
                </w14:textFill>
              </w:rPr>
            </w:pPr>
            <w:r>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t>提交合同信息</w:t>
            </w:r>
          </w:p>
        </w:tc>
        <w:tc>
          <w:tcPr>
            <w:tcW w:w="162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jc w:val="left"/>
              <w:rPr>
                <w:rFonts w:hint="eastAsia" w:ascii="微软雅黑" w:hAnsi="微软雅黑" w:eastAsia="微软雅黑" w:cs="微软雅黑"/>
                <w:strike w:val="0"/>
                <w:dstrike w:val="0"/>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vAlign w:val="top"/>
          </w:tcPr>
          <w:p>
            <w:pPr>
              <w:keepNext w:val="0"/>
              <w:keepLines w:val="0"/>
              <w:numPr>
                <w:ilvl w:val="0"/>
                <w:numId w:val="0"/>
              </w:numPr>
              <w:suppressLineNumbers w:val="0"/>
              <w:spacing w:before="0" w:beforeAutospacing="0" w:after="0" w:afterAutospacing="0" w:line="400" w:lineRule="exact"/>
              <w:ind w:left="0" w:leftChars="0" w:right="0" w:rightChars="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点击后，</w:t>
            </w:r>
          </w:p>
          <w:p>
            <w:pPr>
              <w:keepNext w:val="0"/>
              <w:keepLines w:val="0"/>
              <w:numPr>
                <w:ilvl w:val="0"/>
                <w:numId w:val="25"/>
              </w:numPr>
              <w:suppressLineNumbers w:val="0"/>
              <w:spacing w:before="0" w:beforeAutospacing="0" w:after="0" w:afterAutospacing="0" w:line="400" w:lineRule="exact"/>
              <w:ind w:left="420" w:leftChars="0" w:right="0" w:hanging="420" w:firstLineChars="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有未填写字段时，提示“存在合同信息未填写，请补充合同信息，再提交”</w:t>
            </w:r>
          </w:p>
          <w:p>
            <w:pPr>
              <w:keepNext w:val="0"/>
              <w:keepLines w:val="0"/>
              <w:numPr>
                <w:ilvl w:val="0"/>
                <w:numId w:val="25"/>
              </w:numPr>
              <w:suppressLineNumbers w:val="0"/>
              <w:spacing w:before="0" w:beforeAutospacing="0" w:after="0" w:afterAutospacing="0" w:line="400" w:lineRule="exact"/>
              <w:ind w:left="420" w:leftChars="0" w:right="0" w:rightChars="0" w:hanging="420" w:firstLineChars="0"/>
              <w:rPr>
                <w:rFonts w:hint="eastAsia" w:ascii="微软雅黑" w:hAnsi="微软雅黑" w:eastAsia="微软雅黑" w:cs="微软雅黑"/>
                <w:strike w:val="0"/>
                <w:dstrike w:val="0"/>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所有合同信息字段已填写，弹窗提示【请确认所有合同信息，确认之后合同信息将不可再修改】，点击【确认】所有合同信息终稿确认并且不可再编辑，隐藏【保存】按钮，触发【</w:t>
            </w:r>
            <w:r>
              <w:rPr>
                <w:rFonts w:hint="eastAsia" w:ascii="微软雅黑" w:hAnsi="微软雅黑" w:eastAsia="微软雅黑" w:cs="微软雅黑"/>
                <w:color w:val="000000" w:themeColor="text1"/>
                <w14:textFill>
                  <w14:solidFill>
                    <w14:schemeClr w14:val="tx1"/>
                  </w14:solidFill>
                </w14:textFill>
              </w:rPr>
              <w:t>MPM对接SAP WBS</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FF0000"/>
                <w:lang w:eastAsia="zh-CN"/>
              </w:rPr>
              <w:t>【</w:t>
            </w:r>
            <w:r>
              <w:rPr>
                <w:rFonts w:hint="eastAsia" w:ascii="微软雅黑" w:hAnsi="微软雅黑" w:eastAsia="微软雅黑" w:cs="微软雅黑"/>
                <w:color w:val="FF0000"/>
              </w:rPr>
              <w:t>MPM对接</w:t>
            </w:r>
            <w:r>
              <w:rPr>
                <w:rFonts w:hint="eastAsia" w:ascii="微软雅黑" w:hAnsi="微软雅黑" w:eastAsia="微软雅黑" w:cs="微软雅黑"/>
                <w:color w:val="FF0000"/>
                <w:lang w:val="en-US" w:eastAsia="zh-CN"/>
              </w:rPr>
              <w:t>通讯SAP</w:t>
            </w:r>
            <w:r>
              <w:rPr>
                <w:rFonts w:hint="eastAsia" w:ascii="微软雅黑" w:hAnsi="微软雅黑" w:eastAsia="微软雅黑" w:cs="微软雅黑"/>
                <w:color w:val="FF0000"/>
                <w:lang w:eastAsia="zh-CN"/>
              </w:rPr>
              <w:t>】【</w:t>
            </w:r>
            <w:r>
              <w:rPr>
                <w:rFonts w:hint="eastAsia" w:ascii="微软雅黑" w:hAnsi="微软雅黑" w:eastAsia="微软雅黑" w:cs="微软雅黑"/>
                <w:color w:val="FF0000"/>
              </w:rPr>
              <w:t>MPM对接</w:t>
            </w:r>
            <w:r>
              <w:rPr>
                <w:rFonts w:hint="eastAsia" w:ascii="微软雅黑" w:hAnsi="微软雅黑" w:eastAsia="微软雅黑" w:cs="微软雅黑"/>
                <w:color w:val="FF0000"/>
                <w:lang w:val="en-US" w:eastAsia="zh-CN"/>
              </w:rPr>
              <w:t>通讯CRM</w:t>
            </w:r>
            <w:r>
              <w:rPr>
                <w:rFonts w:hint="eastAsia" w:ascii="微软雅黑" w:hAnsi="微软雅黑" w:eastAsia="微软雅黑" w:cs="微软雅黑"/>
                <w:color w:val="FF0000"/>
                <w:lang w:eastAsia="zh-CN"/>
              </w:rPr>
              <w:t>】</w:t>
            </w:r>
            <w:r>
              <w:rPr>
                <w:rFonts w:hint="eastAsia" w:ascii="微软雅黑" w:hAnsi="微软雅黑" w:eastAsia="微软雅黑" w:cs="微软雅黑"/>
                <w:color w:val="000000" w:themeColor="text1"/>
                <w:lang w:val="en-US" w:eastAsia="zh-CN"/>
                <w14:textFill>
                  <w14:solidFill>
                    <w14:schemeClr w14:val="tx1"/>
                  </w14:solidFill>
                </w14:textFill>
              </w:rPr>
              <w:t>所传递的数据。</w:t>
            </w: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br w:type="textWrapping"/>
            </w:r>
          </w:p>
        </w:tc>
        <w:tc>
          <w:tcPr>
            <w:tcW w:w="201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strike/>
                <w:dstrike w:val="0"/>
                <w:color w:val="000000" w:themeColor="text1"/>
                <w:kern w:val="2"/>
                <w:sz w:val="21"/>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vAlign w:val="top"/>
          </w:tcPr>
          <w:p>
            <w:pPr>
              <w:keepNext w:val="0"/>
              <w:keepLines w:val="0"/>
              <w:suppressLineNumbers w:val="0"/>
              <w:spacing w:before="0" w:beforeAutospacing="0" w:after="0" w:afterAutospacing="0"/>
              <w:ind w:left="0" w:leftChars="0" w:right="0" w:rightChars="0"/>
              <w:rPr>
                <w:rFonts w:hint="eastAsia" w:ascii="微软雅黑" w:hAnsi="微软雅黑" w:eastAsia="微软雅黑" w:cs="微软雅黑"/>
                <w:strike w:val="0"/>
                <w:dstrike w:val="0"/>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保存</w:t>
            </w:r>
          </w:p>
        </w:tc>
        <w:tc>
          <w:tcPr>
            <w:tcW w:w="162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jc w:val="left"/>
              <w:rPr>
                <w:rFonts w:hint="eastAsia" w:ascii="微软雅黑" w:hAnsi="微软雅黑" w:eastAsia="微软雅黑" w:cs="微软雅黑"/>
                <w:strike w:val="0"/>
                <w:dstrike w:val="0"/>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strike w:val="0"/>
                <w:dstrike w:val="0"/>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点击【保存】，提示“所有信息已保存”，则保存已填写的合同信息字段</w:t>
            </w:r>
          </w:p>
        </w:tc>
        <w:tc>
          <w:tcPr>
            <w:tcW w:w="201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strike/>
                <w:dstrike w:val="0"/>
                <w:color w:val="000000" w:themeColor="text1"/>
                <w:kern w:val="2"/>
                <w:sz w:val="21"/>
                <w:szCs w:val="21"/>
                <w:lang w:val="en-US" w:eastAsia="zh-CN" w:bidi="ar-SA"/>
                <w14:textFill>
                  <w14:solidFill>
                    <w14:schemeClr w14:val="tx1"/>
                  </w14:solidFill>
                </w14:textFill>
              </w:rPr>
            </w:pPr>
            <w:r>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t>合同信息已确认</w:t>
            </w: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，隐藏【保存】按钮</w:t>
            </w:r>
          </w:p>
        </w:tc>
      </w:tr>
    </w:tbl>
    <w:p>
      <w:pPr>
        <w:ind w:firstLine="420" w:firstLineChars="0"/>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lang w:val="en-US" w:eastAsia="zh-CN"/>
        </w:rPr>
      </w:pPr>
      <w:r>
        <w:rPr>
          <w:rFonts w:hint="eastAsia" w:ascii="微软雅黑" w:hAnsi="微软雅黑" w:eastAsia="微软雅黑" w:cs="微软雅黑"/>
          <w:color w:val="FF0000"/>
          <w:kern w:val="0"/>
          <w:sz w:val="24"/>
          <w:szCs w:val="21"/>
          <w:lang w:val="en-US" w:eastAsia="zh-CN"/>
        </w:rPr>
        <w:t>合同金额合并所有模块的合同金额传递给sap</w:t>
      </w:r>
    </w:p>
    <w:bookmarkEnd w:id="52"/>
    <w:bookmarkEnd w:id="53"/>
    <w:bookmarkEnd w:id="54"/>
    <w:bookmarkEnd w:id="56"/>
    <w:p>
      <w:pPr>
        <w:pStyle w:val="2"/>
        <w:numPr>
          <w:ilvl w:val="0"/>
          <w:numId w:val="26"/>
        </w:numPr>
        <w:rPr>
          <w:rFonts w:ascii="微软雅黑" w:hAnsi="微软雅黑" w:eastAsia="微软雅黑" w:cs="微软雅黑"/>
          <w:color w:val="000000" w:themeColor="text1"/>
          <w14:textFill>
            <w14:solidFill>
              <w14:schemeClr w14:val="tx1"/>
            </w14:solidFill>
          </w14:textFill>
        </w:rPr>
      </w:pPr>
      <w:bookmarkStart w:id="118" w:name="_Toc5114"/>
      <w:r>
        <w:rPr>
          <w:rFonts w:hint="eastAsia" w:ascii="微软雅黑" w:hAnsi="微软雅黑" w:eastAsia="微软雅黑" w:cs="微软雅黑"/>
          <w:color w:val="000000" w:themeColor="text1"/>
          <w14:textFill>
            <w14:solidFill>
              <w14:schemeClr w14:val="tx1"/>
            </w14:solidFill>
          </w14:textFill>
        </w:rPr>
        <w:t>原型地址</w:t>
      </w:r>
      <w:bookmarkEnd w:id="118"/>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2"/>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188367BF"/>
    <w:multiLevelType w:val="multilevel"/>
    <w:tmpl w:val="188367B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0">
    <w:nsid w:val="328C8AD2"/>
    <w:multiLevelType w:val="singleLevel"/>
    <w:tmpl w:val="328C8AD2"/>
    <w:lvl w:ilvl="0" w:tentative="0">
      <w:start w:val="1"/>
      <w:numFmt w:val="decimal"/>
      <w:suff w:val="space"/>
      <w:lvlText w:val="%1."/>
      <w:lvlJc w:val="left"/>
    </w:lvl>
  </w:abstractNum>
  <w:abstractNum w:abstractNumId="11">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2">
    <w:nsid w:val="3FBD3E6A"/>
    <w:multiLevelType w:val="singleLevel"/>
    <w:tmpl w:val="3FBD3E6A"/>
    <w:lvl w:ilvl="0" w:tentative="0">
      <w:start w:val="1"/>
      <w:numFmt w:val="decimal"/>
      <w:suff w:val="nothing"/>
      <w:lvlText w:val="（%1）"/>
      <w:lvlJc w:val="left"/>
    </w:lvl>
  </w:abstractNum>
  <w:abstractNum w:abstractNumId="13">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5">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4EB595F9"/>
    <w:multiLevelType w:val="singleLevel"/>
    <w:tmpl w:val="4EB595F9"/>
    <w:lvl w:ilvl="0" w:tentative="0">
      <w:start w:val="1"/>
      <w:numFmt w:val="bullet"/>
      <w:lvlText w:val=""/>
      <w:lvlJc w:val="left"/>
      <w:pPr>
        <w:ind w:left="420" w:hanging="420"/>
      </w:pPr>
      <w:rPr>
        <w:rFonts w:hint="default" w:ascii="Wingdings" w:hAnsi="Wingdings"/>
      </w:rPr>
    </w:lvl>
  </w:abstractNum>
  <w:abstractNum w:abstractNumId="17">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54792BF8"/>
    <w:multiLevelType w:val="singleLevel"/>
    <w:tmpl w:val="54792BF8"/>
    <w:lvl w:ilvl="0" w:tentative="0">
      <w:start w:val="1"/>
      <w:numFmt w:val="decimal"/>
      <w:suff w:val="space"/>
      <w:lvlText w:val="%1."/>
      <w:lvlJc w:val="left"/>
    </w:lvl>
  </w:abstractNum>
  <w:abstractNum w:abstractNumId="20">
    <w:nsid w:val="680875EC"/>
    <w:multiLevelType w:val="singleLevel"/>
    <w:tmpl w:val="680875EC"/>
    <w:lvl w:ilvl="0" w:tentative="0">
      <w:start w:val="1"/>
      <w:numFmt w:val="decimal"/>
      <w:suff w:val="space"/>
      <w:lvlText w:val="%1."/>
      <w:lvlJc w:val="left"/>
    </w:lvl>
  </w:abstractNum>
  <w:abstractNum w:abstractNumId="21">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2">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3">
    <w:nsid w:val="78DB99E9"/>
    <w:multiLevelType w:val="singleLevel"/>
    <w:tmpl w:val="78DB99E9"/>
    <w:lvl w:ilvl="0" w:tentative="0">
      <w:start w:val="1"/>
      <w:numFmt w:val="decimal"/>
      <w:suff w:val="space"/>
      <w:lvlText w:val="%1."/>
      <w:lvlJc w:val="left"/>
    </w:lvl>
  </w:abstractNum>
  <w:abstractNum w:abstractNumId="24">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7"/>
  </w:num>
  <w:num w:numId="3">
    <w:abstractNumId w:val="21"/>
  </w:num>
  <w:num w:numId="4">
    <w:abstractNumId w:val="12"/>
  </w:num>
  <w:num w:numId="5">
    <w:abstractNumId w:val="6"/>
  </w:num>
  <w:num w:numId="6">
    <w:abstractNumId w:val="11"/>
  </w:num>
  <w:num w:numId="7">
    <w:abstractNumId w:val="19"/>
  </w:num>
  <w:num w:numId="8">
    <w:abstractNumId w:val="13"/>
  </w:num>
  <w:num w:numId="9">
    <w:abstractNumId w:val="14"/>
  </w:num>
  <w:num w:numId="10">
    <w:abstractNumId w:val="22"/>
  </w:num>
  <w:num w:numId="11">
    <w:abstractNumId w:val="9"/>
  </w:num>
  <w:num w:numId="12">
    <w:abstractNumId w:val="15"/>
  </w:num>
  <w:num w:numId="13">
    <w:abstractNumId w:val="4"/>
  </w:num>
  <w:num w:numId="14">
    <w:abstractNumId w:val="3"/>
  </w:num>
  <w:num w:numId="15">
    <w:abstractNumId w:val="2"/>
  </w:num>
  <w:num w:numId="16">
    <w:abstractNumId w:val="10"/>
  </w:num>
  <w:num w:numId="17">
    <w:abstractNumId w:val="20"/>
  </w:num>
  <w:num w:numId="18">
    <w:abstractNumId w:val="1"/>
  </w:num>
  <w:num w:numId="19">
    <w:abstractNumId w:val="23"/>
  </w:num>
  <w:num w:numId="20">
    <w:abstractNumId w:val="0"/>
  </w:num>
  <w:num w:numId="21">
    <w:abstractNumId w:val="18"/>
  </w:num>
  <w:num w:numId="22">
    <w:abstractNumId w:val="5"/>
  </w:num>
  <w:num w:numId="23">
    <w:abstractNumId w:val="24"/>
  </w:num>
  <w:num w:numId="24">
    <w:abstractNumId w:val="8"/>
  </w:num>
  <w:num w:numId="25">
    <w:abstractNumId w:val="16"/>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38C6"/>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6767A"/>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2D5E17"/>
    <w:rsid w:val="01433E6F"/>
    <w:rsid w:val="014A16F5"/>
    <w:rsid w:val="014D1D6F"/>
    <w:rsid w:val="015C60EC"/>
    <w:rsid w:val="015E046D"/>
    <w:rsid w:val="0165588A"/>
    <w:rsid w:val="01C75F4E"/>
    <w:rsid w:val="01CB5B9B"/>
    <w:rsid w:val="01D95551"/>
    <w:rsid w:val="02021905"/>
    <w:rsid w:val="020854E0"/>
    <w:rsid w:val="021037F6"/>
    <w:rsid w:val="02233CE9"/>
    <w:rsid w:val="0230466D"/>
    <w:rsid w:val="023B0ECF"/>
    <w:rsid w:val="024449A6"/>
    <w:rsid w:val="027520D7"/>
    <w:rsid w:val="027E0135"/>
    <w:rsid w:val="02960565"/>
    <w:rsid w:val="029708E4"/>
    <w:rsid w:val="029740E4"/>
    <w:rsid w:val="02A9072C"/>
    <w:rsid w:val="02AA767B"/>
    <w:rsid w:val="02AB358F"/>
    <w:rsid w:val="02DE1A99"/>
    <w:rsid w:val="02E95323"/>
    <w:rsid w:val="03163281"/>
    <w:rsid w:val="034D371B"/>
    <w:rsid w:val="03600AA6"/>
    <w:rsid w:val="036B035C"/>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4F25889"/>
    <w:rsid w:val="05043686"/>
    <w:rsid w:val="050D4F5D"/>
    <w:rsid w:val="051C479F"/>
    <w:rsid w:val="052527A1"/>
    <w:rsid w:val="05963A43"/>
    <w:rsid w:val="059A33CC"/>
    <w:rsid w:val="059D3A12"/>
    <w:rsid w:val="05CC762B"/>
    <w:rsid w:val="05D47CDD"/>
    <w:rsid w:val="05E82BC0"/>
    <w:rsid w:val="05F14F57"/>
    <w:rsid w:val="06080E93"/>
    <w:rsid w:val="063876A4"/>
    <w:rsid w:val="064E72DD"/>
    <w:rsid w:val="06750752"/>
    <w:rsid w:val="069074E0"/>
    <w:rsid w:val="06967710"/>
    <w:rsid w:val="06E0050C"/>
    <w:rsid w:val="06E96D8B"/>
    <w:rsid w:val="06F47A2E"/>
    <w:rsid w:val="06FB3D69"/>
    <w:rsid w:val="071C5C86"/>
    <w:rsid w:val="07350FDE"/>
    <w:rsid w:val="073F152B"/>
    <w:rsid w:val="07404843"/>
    <w:rsid w:val="076F2A0F"/>
    <w:rsid w:val="0778670A"/>
    <w:rsid w:val="07C31D42"/>
    <w:rsid w:val="07C5172F"/>
    <w:rsid w:val="07C76EE3"/>
    <w:rsid w:val="07DF30BD"/>
    <w:rsid w:val="07E4724B"/>
    <w:rsid w:val="07E67F3C"/>
    <w:rsid w:val="07F54082"/>
    <w:rsid w:val="08041696"/>
    <w:rsid w:val="08176927"/>
    <w:rsid w:val="081A27FC"/>
    <w:rsid w:val="082061B2"/>
    <w:rsid w:val="082F1806"/>
    <w:rsid w:val="08454DBC"/>
    <w:rsid w:val="0852110F"/>
    <w:rsid w:val="085219E1"/>
    <w:rsid w:val="086D75DF"/>
    <w:rsid w:val="08701385"/>
    <w:rsid w:val="088E0630"/>
    <w:rsid w:val="08A12752"/>
    <w:rsid w:val="08D72AAA"/>
    <w:rsid w:val="08FE45CF"/>
    <w:rsid w:val="090A3FDC"/>
    <w:rsid w:val="09102BD3"/>
    <w:rsid w:val="09540116"/>
    <w:rsid w:val="097F21CB"/>
    <w:rsid w:val="09814CA1"/>
    <w:rsid w:val="09853F9F"/>
    <w:rsid w:val="09A202AB"/>
    <w:rsid w:val="09BA0BBD"/>
    <w:rsid w:val="09DD2DDE"/>
    <w:rsid w:val="0A646427"/>
    <w:rsid w:val="0A7016CA"/>
    <w:rsid w:val="0A9F4195"/>
    <w:rsid w:val="0AB74EB4"/>
    <w:rsid w:val="0AC12DD6"/>
    <w:rsid w:val="0AD852A7"/>
    <w:rsid w:val="0ADC4583"/>
    <w:rsid w:val="0AE64E36"/>
    <w:rsid w:val="0AFE0B16"/>
    <w:rsid w:val="0B167F4B"/>
    <w:rsid w:val="0B1976A1"/>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1C6BBB"/>
    <w:rsid w:val="0D304066"/>
    <w:rsid w:val="0D91242B"/>
    <w:rsid w:val="0DDF14D6"/>
    <w:rsid w:val="0DEF4AF0"/>
    <w:rsid w:val="0DF94C1A"/>
    <w:rsid w:val="0E107C61"/>
    <w:rsid w:val="0E295676"/>
    <w:rsid w:val="0E3521B9"/>
    <w:rsid w:val="0E370B89"/>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893CBB"/>
    <w:rsid w:val="129D10F4"/>
    <w:rsid w:val="129D54E6"/>
    <w:rsid w:val="12B350A7"/>
    <w:rsid w:val="12CE7E72"/>
    <w:rsid w:val="12DA3278"/>
    <w:rsid w:val="12F32E8F"/>
    <w:rsid w:val="12F55ACD"/>
    <w:rsid w:val="12F82037"/>
    <w:rsid w:val="12F9462E"/>
    <w:rsid w:val="133A238B"/>
    <w:rsid w:val="133F0831"/>
    <w:rsid w:val="135C24DB"/>
    <w:rsid w:val="136159FC"/>
    <w:rsid w:val="13784F2C"/>
    <w:rsid w:val="13794499"/>
    <w:rsid w:val="13AC64B5"/>
    <w:rsid w:val="13AE7229"/>
    <w:rsid w:val="13AF4D1D"/>
    <w:rsid w:val="13D24180"/>
    <w:rsid w:val="13DC1FB6"/>
    <w:rsid w:val="13E83058"/>
    <w:rsid w:val="144056D6"/>
    <w:rsid w:val="14467430"/>
    <w:rsid w:val="14961D95"/>
    <w:rsid w:val="14BD104A"/>
    <w:rsid w:val="14D55DA8"/>
    <w:rsid w:val="14E33E8E"/>
    <w:rsid w:val="151B039E"/>
    <w:rsid w:val="151C15C7"/>
    <w:rsid w:val="151D2886"/>
    <w:rsid w:val="15201A22"/>
    <w:rsid w:val="15295168"/>
    <w:rsid w:val="15415E49"/>
    <w:rsid w:val="1549049F"/>
    <w:rsid w:val="157B58E2"/>
    <w:rsid w:val="157E602C"/>
    <w:rsid w:val="158D3DDA"/>
    <w:rsid w:val="15A85216"/>
    <w:rsid w:val="162D4D4B"/>
    <w:rsid w:val="164A7FFA"/>
    <w:rsid w:val="16505D35"/>
    <w:rsid w:val="16630ED7"/>
    <w:rsid w:val="16D56F37"/>
    <w:rsid w:val="16D71B17"/>
    <w:rsid w:val="17104861"/>
    <w:rsid w:val="173A15EF"/>
    <w:rsid w:val="175F0DF2"/>
    <w:rsid w:val="17642340"/>
    <w:rsid w:val="176C3651"/>
    <w:rsid w:val="17A02BD7"/>
    <w:rsid w:val="17F02E93"/>
    <w:rsid w:val="18142E7F"/>
    <w:rsid w:val="18384605"/>
    <w:rsid w:val="18946A5C"/>
    <w:rsid w:val="18BA6DD8"/>
    <w:rsid w:val="18DE70F2"/>
    <w:rsid w:val="18ED44F8"/>
    <w:rsid w:val="190005AE"/>
    <w:rsid w:val="19265B24"/>
    <w:rsid w:val="19406B43"/>
    <w:rsid w:val="1948343E"/>
    <w:rsid w:val="19B27315"/>
    <w:rsid w:val="19DC1839"/>
    <w:rsid w:val="19F01641"/>
    <w:rsid w:val="1A277D03"/>
    <w:rsid w:val="1A6706CB"/>
    <w:rsid w:val="1A9B37C1"/>
    <w:rsid w:val="1AAA003E"/>
    <w:rsid w:val="1AAF2867"/>
    <w:rsid w:val="1AB57110"/>
    <w:rsid w:val="1ACE40C2"/>
    <w:rsid w:val="1AE41E94"/>
    <w:rsid w:val="1AE775BD"/>
    <w:rsid w:val="1AF41C97"/>
    <w:rsid w:val="1AFD37FE"/>
    <w:rsid w:val="1B525A6C"/>
    <w:rsid w:val="1B8016C7"/>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DDF4451"/>
    <w:rsid w:val="1E0351AF"/>
    <w:rsid w:val="1E0A7E70"/>
    <w:rsid w:val="1E4C30F5"/>
    <w:rsid w:val="1E642F4A"/>
    <w:rsid w:val="1E840087"/>
    <w:rsid w:val="1ED34E5C"/>
    <w:rsid w:val="1F2B02F6"/>
    <w:rsid w:val="1F5D7B37"/>
    <w:rsid w:val="1FAA5776"/>
    <w:rsid w:val="1FBD2B8C"/>
    <w:rsid w:val="200B6EF7"/>
    <w:rsid w:val="203E010E"/>
    <w:rsid w:val="20496916"/>
    <w:rsid w:val="205519F4"/>
    <w:rsid w:val="20725940"/>
    <w:rsid w:val="207277FE"/>
    <w:rsid w:val="207C7F28"/>
    <w:rsid w:val="207D56E5"/>
    <w:rsid w:val="20983709"/>
    <w:rsid w:val="209E0D73"/>
    <w:rsid w:val="20A16FA2"/>
    <w:rsid w:val="20BB11A5"/>
    <w:rsid w:val="20C850B3"/>
    <w:rsid w:val="20CB430C"/>
    <w:rsid w:val="20D373A8"/>
    <w:rsid w:val="20F1411F"/>
    <w:rsid w:val="211B718D"/>
    <w:rsid w:val="216D7370"/>
    <w:rsid w:val="21740B47"/>
    <w:rsid w:val="218E68BA"/>
    <w:rsid w:val="219D0C9F"/>
    <w:rsid w:val="21C006EF"/>
    <w:rsid w:val="21C962A6"/>
    <w:rsid w:val="21CF58C3"/>
    <w:rsid w:val="21D11B32"/>
    <w:rsid w:val="21DD2A68"/>
    <w:rsid w:val="21E32DAB"/>
    <w:rsid w:val="21E447B8"/>
    <w:rsid w:val="21E75E24"/>
    <w:rsid w:val="21F52495"/>
    <w:rsid w:val="221A7F10"/>
    <w:rsid w:val="22265CAC"/>
    <w:rsid w:val="2238356F"/>
    <w:rsid w:val="224540C5"/>
    <w:rsid w:val="22821518"/>
    <w:rsid w:val="22835166"/>
    <w:rsid w:val="22836235"/>
    <w:rsid w:val="22EE010D"/>
    <w:rsid w:val="23046FB3"/>
    <w:rsid w:val="232B3A4E"/>
    <w:rsid w:val="23920F16"/>
    <w:rsid w:val="2395348E"/>
    <w:rsid w:val="239E0BD6"/>
    <w:rsid w:val="23A06CE8"/>
    <w:rsid w:val="23B44B8C"/>
    <w:rsid w:val="23B51552"/>
    <w:rsid w:val="23D7611B"/>
    <w:rsid w:val="23DC1EE3"/>
    <w:rsid w:val="23E60E01"/>
    <w:rsid w:val="24011E68"/>
    <w:rsid w:val="24120752"/>
    <w:rsid w:val="241412F8"/>
    <w:rsid w:val="245A67CD"/>
    <w:rsid w:val="246D14F0"/>
    <w:rsid w:val="247B4DDC"/>
    <w:rsid w:val="249D1001"/>
    <w:rsid w:val="24A955BE"/>
    <w:rsid w:val="24DC7900"/>
    <w:rsid w:val="24F80260"/>
    <w:rsid w:val="251D330D"/>
    <w:rsid w:val="251E1D03"/>
    <w:rsid w:val="2527140E"/>
    <w:rsid w:val="257079A0"/>
    <w:rsid w:val="25C143C2"/>
    <w:rsid w:val="25D23BE2"/>
    <w:rsid w:val="25E90C56"/>
    <w:rsid w:val="26265313"/>
    <w:rsid w:val="263809A3"/>
    <w:rsid w:val="26461511"/>
    <w:rsid w:val="264659B5"/>
    <w:rsid w:val="265C42A5"/>
    <w:rsid w:val="269E4FB3"/>
    <w:rsid w:val="26BB5D04"/>
    <w:rsid w:val="270E372A"/>
    <w:rsid w:val="2734560A"/>
    <w:rsid w:val="2742781D"/>
    <w:rsid w:val="27563020"/>
    <w:rsid w:val="2768277A"/>
    <w:rsid w:val="278C2637"/>
    <w:rsid w:val="279C73CB"/>
    <w:rsid w:val="27A1086B"/>
    <w:rsid w:val="27A12059"/>
    <w:rsid w:val="27A14DF9"/>
    <w:rsid w:val="27AC6D81"/>
    <w:rsid w:val="27FF14F9"/>
    <w:rsid w:val="282A5E05"/>
    <w:rsid w:val="283679E4"/>
    <w:rsid w:val="28600BE2"/>
    <w:rsid w:val="287F156A"/>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0E6DD8"/>
    <w:rsid w:val="2A16304B"/>
    <w:rsid w:val="2A3747DE"/>
    <w:rsid w:val="2A571F3F"/>
    <w:rsid w:val="2A7A7A11"/>
    <w:rsid w:val="2A91683D"/>
    <w:rsid w:val="2AA737B8"/>
    <w:rsid w:val="2B102F85"/>
    <w:rsid w:val="2B4B5DB6"/>
    <w:rsid w:val="2B844FB6"/>
    <w:rsid w:val="2BA94A1C"/>
    <w:rsid w:val="2BCB56AE"/>
    <w:rsid w:val="2C1005F7"/>
    <w:rsid w:val="2C713C9E"/>
    <w:rsid w:val="2CA47071"/>
    <w:rsid w:val="2CB421F1"/>
    <w:rsid w:val="2CB57D09"/>
    <w:rsid w:val="2CC24434"/>
    <w:rsid w:val="2CF12E10"/>
    <w:rsid w:val="2D411910"/>
    <w:rsid w:val="2D493681"/>
    <w:rsid w:val="2DCC02CF"/>
    <w:rsid w:val="2DFA3B5D"/>
    <w:rsid w:val="2E0A29C4"/>
    <w:rsid w:val="2E0F3847"/>
    <w:rsid w:val="2E110977"/>
    <w:rsid w:val="2E2D4354"/>
    <w:rsid w:val="2E360211"/>
    <w:rsid w:val="2E514EF7"/>
    <w:rsid w:val="2E9A6B8C"/>
    <w:rsid w:val="2EA6543C"/>
    <w:rsid w:val="2EC95B9F"/>
    <w:rsid w:val="2ED86493"/>
    <w:rsid w:val="2EE1305E"/>
    <w:rsid w:val="2EFD112A"/>
    <w:rsid w:val="2F0B32F8"/>
    <w:rsid w:val="2F0F0EB1"/>
    <w:rsid w:val="2F11346B"/>
    <w:rsid w:val="2F2D2A09"/>
    <w:rsid w:val="2F4066F5"/>
    <w:rsid w:val="2F914026"/>
    <w:rsid w:val="2F914961"/>
    <w:rsid w:val="2FBC6B59"/>
    <w:rsid w:val="2FCE2CA3"/>
    <w:rsid w:val="2FD45294"/>
    <w:rsid w:val="2FEB5C36"/>
    <w:rsid w:val="30224CEF"/>
    <w:rsid w:val="30345C11"/>
    <w:rsid w:val="304A11F2"/>
    <w:rsid w:val="30542B66"/>
    <w:rsid w:val="30550C9E"/>
    <w:rsid w:val="30620526"/>
    <w:rsid w:val="30867C36"/>
    <w:rsid w:val="30AB2FED"/>
    <w:rsid w:val="30AD29B5"/>
    <w:rsid w:val="30C006A2"/>
    <w:rsid w:val="30E926B0"/>
    <w:rsid w:val="30EC0618"/>
    <w:rsid w:val="30FE0453"/>
    <w:rsid w:val="310D0E4C"/>
    <w:rsid w:val="31167489"/>
    <w:rsid w:val="311C791F"/>
    <w:rsid w:val="31615451"/>
    <w:rsid w:val="31645768"/>
    <w:rsid w:val="316F3150"/>
    <w:rsid w:val="319C700B"/>
    <w:rsid w:val="31EF4B28"/>
    <w:rsid w:val="32074FCB"/>
    <w:rsid w:val="320D5EF5"/>
    <w:rsid w:val="3215682E"/>
    <w:rsid w:val="322104B7"/>
    <w:rsid w:val="325909A7"/>
    <w:rsid w:val="327F07C7"/>
    <w:rsid w:val="328030E8"/>
    <w:rsid w:val="32866ED5"/>
    <w:rsid w:val="32933021"/>
    <w:rsid w:val="329908B3"/>
    <w:rsid w:val="32BB5035"/>
    <w:rsid w:val="32C76D1E"/>
    <w:rsid w:val="32D61E6F"/>
    <w:rsid w:val="330064C0"/>
    <w:rsid w:val="334046F4"/>
    <w:rsid w:val="334C41BA"/>
    <w:rsid w:val="3367687A"/>
    <w:rsid w:val="338246B5"/>
    <w:rsid w:val="33D619C1"/>
    <w:rsid w:val="33ED5C4A"/>
    <w:rsid w:val="33EE4E18"/>
    <w:rsid w:val="34030A42"/>
    <w:rsid w:val="34086D44"/>
    <w:rsid w:val="34184286"/>
    <w:rsid w:val="341E1D1F"/>
    <w:rsid w:val="344C6F98"/>
    <w:rsid w:val="34955861"/>
    <w:rsid w:val="349618B6"/>
    <w:rsid w:val="350E309D"/>
    <w:rsid w:val="35455245"/>
    <w:rsid w:val="35706308"/>
    <w:rsid w:val="358D4A6A"/>
    <w:rsid w:val="35941E57"/>
    <w:rsid w:val="35A95619"/>
    <w:rsid w:val="35C31B4A"/>
    <w:rsid w:val="3605491C"/>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624B2"/>
    <w:rsid w:val="37CC6CEC"/>
    <w:rsid w:val="37E524F2"/>
    <w:rsid w:val="37F765DB"/>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0D66F3"/>
    <w:rsid w:val="39167770"/>
    <w:rsid w:val="392954D0"/>
    <w:rsid w:val="39307B15"/>
    <w:rsid w:val="394954CE"/>
    <w:rsid w:val="39756C49"/>
    <w:rsid w:val="39B747A8"/>
    <w:rsid w:val="39EE03A2"/>
    <w:rsid w:val="3A1838E0"/>
    <w:rsid w:val="3A545F3D"/>
    <w:rsid w:val="3A7E5695"/>
    <w:rsid w:val="3A9022E7"/>
    <w:rsid w:val="3AA522EF"/>
    <w:rsid w:val="3ABC1597"/>
    <w:rsid w:val="3AED2E1A"/>
    <w:rsid w:val="3AF87E45"/>
    <w:rsid w:val="3B336590"/>
    <w:rsid w:val="3B361C11"/>
    <w:rsid w:val="3B695784"/>
    <w:rsid w:val="3B6F3937"/>
    <w:rsid w:val="3B7375CE"/>
    <w:rsid w:val="3BAE3989"/>
    <w:rsid w:val="3BE439EB"/>
    <w:rsid w:val="3C190F43"/>
    <w:rsid w:val="3C3E2685"/>
    <w:rsid w:val="3C3E4D0D"/>
    <w:rsid w:val="3C470EF4"/>
    <w:rsid w:val="3C761C06"/>
    <w:rsid w:val="3C9716A0"/>
    <w:rsid w:val="3C9D7347"/>
    <w:rsid w:val="3C9E1C4F"/>
    <w:rsid w:val="3CB34D82"/>
    <w:rsid w:val="3CD674F2"/>
    <w:rsid w:val="3CE959ED"/>
    <w:rsid w:val="3D211F38"/>
    <w:rsid w:val="3DBE5F2D"/>
    <w:rsid w:val="3DD32EF7"/>
    <w:rsid w:val="3E3F7EA2"/>
    <w:rsid w:val="3E532962"/>
    <w:rsid w:val="3E5438DA"/>
    <w:rsid w:val="3E80299E"/>
    <w:rsid w:val="3EA54E66"/>
    <w:rsid w:val="3ECD4126"/>
    <w:rsid w:val="3ED24703"/>
    <w:rsid w:val="3EF65654"/>
    <w:rsid w:val="3EFD1192"/>
    <w:rsid w:val="3F4B40B6"/>
    <w:rsid w:val="3F4D5E52"/>
    <w:rsid w:val="3FC44B6A"/>
    <w:rsid w:val="3FCF5436"/>
    <w:rsid w:val="3FD34C57"/>
    <w:rsid w:val="400E08A9"/>
    <w:rsid w:val="4015583C"/>
    <w:rsid w:val="403B6AA5"/>
    <w:rsid w:val="4052019F"/>
    <w:rsid w:val="407C1607"/>
    <w:rsid w:val="409023E3"/>
    <w:rsid w:val="40A15350"/>
    <w:rsid w:val="40A84710"/>
    <w:rsid w:val="40BD37EF"/>
    <w:rsid w:val="40C34B34"/>
    <w:rsid w:val="40D53BA6"/>
    <w:rsid w:val="40F07311"/>
    <w:rsid w:val="410F48BD"/>
    <w:rsid w:val="412752F4"/>
    <w:rsid w:val="41641782"/>
    <w:rsid w:val="4164297D"/>
    <w:rsid w:val="416F5968"/>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7F45AC"/>
    <w:rsid w:val="43902C09"/>
    <w:rsid w:val="43BE781F"/>
    <w:rsid w:val="43C8313A"/>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9873F6"/>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2716F0"/>
    <w:rsid w:val="4836374D"/>
    <w:rsid w:val="48AC0B12"/>
    <w:rsid w:val="48B97A2A"/>
    <w:rsid w:val="48CA287F"/>
    <w:rsid w:val="48CC36A0"/>
    <w:rsid w:val="48DA1515"/>
    <w:rsid w:val="48EE0572"/>
    <w:rsid w:val="49051B56"/>
    <w:rsid w:val="492142E0"/>
    <w:rsid w:val="495145C0"/>
    <w:rsid w:val="4952379E"/>
    <w:rsid w:val="495E72B5"/>
    <w:rsid w:val="496F09BA"/>
    <w:rsid w:val="49970C16"/>
    <w:rsid w:val="49977084"/>
    <w:rsid w:val="49A5579A"/>
    <w:rsid w:val="49A829FB"/>
    <w:rsid w:val="49B6378B"/>
    <w:rsid w:val="49B93538"/>
    <w:rsid w:val="49EC3FFA"/>
    <w:rsid w:val="49F44403"/>
    <w:rsid w:val="49FC149D"/>
    <w:rsid w:val="4A873C4F"/>
    <w:rsid w:val="4A9263D1"/>
    <w:rsid w:val="4AA407FF"/>
    <w:rsid w:val="4AA428CF"/>
    <w:rsid w:val="4AB34CDB"/>
    <w:rsid w:val="4ADE1B1E"/>
    <w:rsid w:val="4B067059"/>
    <w:rsid w:val="4B0F6915"/>
    <w:rsid w:val="4B115505"/>
    <w:rsid w:val="4B875CD1"/>
    <w:rsid w:val="4BB650F3"/>
    <w:rsid w:val="4BCB0E8D"/>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983712"/>
    <w:rsid w:val="4EAD2593"/>
    <w:rsid w:val="4EAD490C"/>
    <w:rsid w:val="4ECA34CE"/>
    <w:rsid w:val="4EE6429C"/>
    <w:rsid w:val="4EEE2729"/>
    <w:rsid w:val="4F354DA5"/>
    <w:rsid w:val="4F5028E5"/>
    <w:rsid w:val="4F776CC7"/>
    <w:rsid w:val="4F7A20A8"/>
    <w:rsid w:val="4F8372F5"/>
    <w:rsid w:val="4F922CC5"/>
    <w:rsid w:val="4FA47E98"/>
    <w:rsid w:val="4FB025CF"/>
    <w:rsid w:val="50014D1C"/>
    <w:rsid w:val="500300CE"/>
    <w:rsid w:val="502A375B"/>
    <w:rsid w:val="50734BF1"/>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2563"/>
    <w:rsid w:val="5275637B"/>
    <w:rsid w:val="52A01E26"/>
    <w:rsid w:val="52B863C8"/>
    <w:rsid w:val="52BF4FE1"/>
    <w:rsid w:val="52D65641"/>
    <w:rsid w:val="52DA060C"/>
    <w:rsid w:val="53231E5F"/>
    <w:rsid w:val="5330341C"/>
    <w:rsid w:val="53334A48"/>
    <w:rsid w:val="534F261A"/>
    <w:rsid w:val="535204A4"/>
    <w:rsid w:val="5358625C"/>
    <w:rsid w:val="53722A3B"/>
    <w:rsid w:val="53817E10"/>
    <w:rsid w:val="53B66FD2"/>
    <w:rsid w:val="53D71F30"/>
    <w:rsid w:val="53E5729B"/>
    <w:rsid w:val="540E51BF"/>
    <w:rsid w:val="5418166F"/>
    <w:rsid w:val="54237285"/>
    <w:rsid w:val="54282946"/>
    <w:rsid w:val="5457039E"/>
    <w:rsid w:val="546561AB"/>
    <w:rsid w:val="54941A39"/>
    <w:rsid w:val="54981C38"/>
    <w:rsid w:val="54BA3D4C"/>
    <w:rsid w:val="54BB034F"/>
    <w:rsid w:val="54BD35D6"/>
    <w:rsid w:val="54E255A6"/>
    <w:rsid w:val="551838B3"/>
    <w:rsid w:val="551E1A80"/>
    <w:rsid w:val="5563574A"/>
    <w:rsid w:val="5580124B"/>
    <w:rsid w:val="55861A56"/>
    <w:rsid w:val="55C4583A"/>
    <w:rsid w:val="55E7750D"/>
    <w:rsid w:val="55E84126"/>
    <w:rsid w:val="55FD5A77"/>
    <w:rsid w:val="55FF3307"/>
    <w:rsid w:val="561B7A5D"/>
    <w:rsid w:val="562E111A"/>
    <w:rsid w:val="56302FC8"/>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C3697"/>
    <w:rsid w:val="585F7BEA"/>
    <w:rsid w:val="586F0DC8"/>
    <w:rsid w:val="58F12644"/>
    <w:rsid w:val="58FD005D"/>
    <w:rsid w:val="5917311D"/>
    <w:rsid w:val="592358A0"/>
    <w:rsid w:val="593A510C"/>
    <w:rsid w:val="5943137B"/>
    <w:rsid w:val="594B3F60"/>
    <w:rsid w:val="59501302"/>
    <w:rsid w:val="59541C8A"/>
    <w:rsid w:val="597F4213"/>
    <w:rsid w:val="59A541C5"/>
    <w:rsid w:val="59A70D92"/>
    <w:rsid w:val="59DF60DB"/>
    <w:rsid w:val="59EA1843"/>
    <w:rsid w:val="59EC274D"/>
    <w:rsid w:val="59F96A8A"/>
    <w:rsid w:val="59FC3776"/>
    <w:rsid w:val="5A091997"/>
    <w:rsid w:val="5A156369"/>
    <w:rsid w:val="5A9C7F1F"/>
    <w:rsid w:val="5AA24261"/>
    <w:rsid w:val="5B286410"/>
    <w:rsid w:val="5B30270F"/>
    <w:rsid w:val="5B5D4214"/>
    <w:rsid w:val="5B7103C2"/>
    <w:rsid w:val="5B8B73F7"/>
    <w:rsid w:val="5B9850F3"/>
    <w:rsid w:val="5B9D2D2E"/>
    <w:rsid w:val="5BA5640B"/>
    <w:rsid w:val="5BD2421B"/>
    <w:rsid w:val="5C49107E"/>
    <w:rsid w:val="5C495AB6"/>
    <w:rsid w:val="5C4C6375"/>
    <w:rsid w:val="5C5D1524"/>
    <w:rsid w:val="5C7C3FAC"/>
    <w:rsid w:val="5C9662C2"/>
    <w:rsid w:val="5CA56848"/>
    <w:rsid w:val="5CFF4E71"/>
    <w:rsid w:val="5D0816C1"/>
    <w:rsid w:val="5D37237F"/>
    <w:rsid w:val="5D3A662D"/>
    <w:rsid w:val="5D6131B1"/>
    <w:rsid w:val="5D8462CE"/>
    <w:rsid w:val="5D8F4257"/>
    <w:rsid w:val="5D93048B"/>
    <w:rsid w:val="5DA04FDB"/>
    <w:rsid w:val="5DFB460D"/>
    <w:rsid w:val="5E2D10E7"/>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0A2868"/>
    <w:rsid w:val="60782D1C"/>
    <w:rsid w:val="60946429"/>
    <w:rsid w:val="60FD4B8F"/>
    <w:rsid w:val="61006CF1"/>
    <w:rsid w:val="610757B8"/>
    <w:rsid w:val="612947A7"/>
    <w:rsid w:val="61321DA0"/>
    <w:rsid w:val="613870E2"/>
    <w:rsid w:val="613A001F"/>
    <w:rsid w:val="614C3178"/>
    <w:rsid w:val="615E2D65"/>
    <w:rsid w:val="61C3168D"/>
    <w:rsid w:val="61DF76A9"/>
    <w:rsid w:val="61E96842"/>
    <w:rsid w:val="61F465B2"/>
    <w:rsid w:val="62053A53"/>
    <w:rsid w:val="62620EA5"/>
    <w:rsid w:val="626673E3"/>
    <w:rsid w:val="627B2625"/>
    <w:rsid w:val="62842DAE"/>
    <w:rsid w:val="628464B7"/>
    <w:rsid w:val="62911696"/>
    <w:rsid w:val="62922C5A"/>
    <w:rsid w:val="62B924B2"/>
    <w:rsid w:val="634A6A3E"/>
    <w:rsid w:val="636001C0"/>
    <w:rsid w:val="636203B7"/>
    <w:rsid w:val="638E1826"/>
    <w:rsid w:val="63A5020E"/>
    <w:rsid w:val="63DC4F32"/>
    <w:rsid w:val="64740733"/>
    <w:rsid w:val="64B749A2"/>
    <w:rsid w:val="64E509C1"/>
    <w:rsid w:val="64E948B9"/>
    <w:rsid w:val="64F45FDB"/>
    <w:rsid w:val="651626D7"/>
    <w:rsid w:val="651C7E26"/>
    <w:rsid w:val="65384C6A"/>
    <w:rsid w:val="656A5058"/>
    <w:rsid w:val="65CD262F"/>
    <w:rsid w:val="662B3853"/>
    <w:rsid w:val="66497D38"/>
    <w:rsid w:val="665741AE"/>
    <w:rsid w:val="669B6625"/>
    <w:rsid w:val="66B9305E"/>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B34466"/>
    <w:rsid w:val="69CE215B"/>
    <w:rsid w:val="69E02810"/>
    <w:rsid w:val="69EF052B"/>
    <w:rsid w:val="69EF1549"/>
    <w:rsid w:val="6A0101FD"/>
    <w:rsid w:val="6A1715B8"/>
    <w:rsid w:val="6A204D32"/>
    <w:rsid w:val="6A2932CB"/>
    <w:rsid w:val="6A36165D"/>
    <w:rsid w:val="6A8C6396"/>
    <w:rsid w:val="6AAB2CE4"/>
    <w:rsid w:val="6AB21DE8"/>
    <w:rsid w:val="6AB74EE2"/>
    <w:rsid w:val="6ACD70D8"/>
    <w:rsid w:val="6AD45580"/>
    <w:rsid w:val="6B0B260D"/>
    <w:rsid w:val="6B3E0AD2"/>
    <w:rsid w:val="6B706100"/>
    <w:rsid w:val="6B915AC4"/>
    <w:rsid w:val="6BA51E03"/>
    <w:rsid w:val="6BAC48E5"/>
    <w:rsid w:val="6BE4292B"/>
    <w:rsid w:val="6C022DB1"/>
    <w:rsid w:val="6C1D36D4"/>
    <w:rsid w:val="6C2C6722"/>
    <w:rsid w:val="6CAE3891"/>
    <w:rsid w:val="6CDB725F"/>
    <w:rsid w:val="6CE82CC6"/>
    <w:rsid w:val="6CE9165B"/>
    <w:rsid w:val="6CF26C05"/>
    <w:rsid w:val="6D0B038C"/>
    <w:rsid w:val="6D661D31"/>
    <w:rsid w:val="6D752DA0"/>
    <w:rsid w:val="6D7D6706"/>
    <w:rsid w:val="6D7F3A4F"/>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0D41B0"/>
    <w:rsid w:val="6F1B2B08"/>
    <w:rsid w:val="6F1B52F1"/>
    <w:rsid w:val="6F3B2B40"/>
    <w:rsid w:val="6F654A8B"/>
    <w:rsid w:val="6FD809F9"/>
    <w:rsid w:val="6FF42C27"/>
    <w:rsid w:val="700A05E3"/>
    <w:rsid w:val="704B4797"/>
    <w:rsid w:val="704F48F7"/>
    <w:rsid w:val="70744B1F"/>
    <w:rsid w:val="70784CFA"/>
    <w:rsid w:val="707C49F3"/>
    <w:rsid w:val="70801293"/>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D14FD5"/>
    <w:rsid w:val="731042BF"/>
    <w:rsid w:val="7327218B"/>
    <w:rsid w:val="732B171E"/>
    <w:rsid w:val="73337E12"/>
    <w:rsid w:val="735E6CA6"/>
    <w:rsid w:val="7361405A"/>
    <w:rsid w:val="73631B99"/>
    <w:rsid w:val="73C602C1"/>
    <w:rsid w:val="73D4523C"/>
    <w:rsid w:val="73F24BBB"/>
    <w:rsid w:val="7403623E"/>
    <w:rsid w:val="741915E0"/>
    <w:rsid w:val="745E33D8"/>
    <w:rsid w:val="747B7BA5"/>
    <w:rsid w:val="749A70B1"/>
    <w:rsid w:val="74A54C22"/>
    <w:rsid w:val="74C3768E"/>
    <w:rsid w:val="74C75A57"/>
    <w:rsid w:val="74F75461"/>
    <w:rsid w:val="74F86BB4"/>
    <w:rsid w:val="75246D25"/>
    <w:rsid w:val="75504B8E"/>
    <w:rsid w:val="755455D2"/>
    <w:rsid w:val="756938C9"/>
    <w:rsid w:val="7572695B"/>
    <w:rsid w:val="75766696"/>
    <w:rsid w:val="75F578B6"/>
    <w:rsid w:val="76020142"/>
    <w:rsid w:val="760F0ADF"/>
    <w:rsid w:val="76332698"/>
    <w:rsid w:val="76792377"/>
    <w:rsid w:val="767A534F"/>
    <w:rsid w:val="76901EF2"/>
    <w:rsid w:val="76AA04F9"/>
    <w:rsid w:val="76B565C6"/>
    <w:rsid w:val="76C826E9"/>
    <w:rsid w:val="76E53925"/>
    <w:rsid w:val="76F146DD"/>
    <w:rsid w:val="7723079F"/>
    <w:rsid w:val="772B173D"/>
    <w:rsid w:val="773D548F"/>
    <w:rsid w:val="77550745"/>
    <w:rsid w:val="77732D5A"/>
    <w:rsid w:val="77772BC6"/>
    <w:rsid w:val="778C7A14"/>
    <w:rsid w:val="77A93C36"/>
    <w:rsid w:val="77B46AFF"/>
    <w:rsid w:val="77B576CE"/>
    <w:rsid w:val="77B82657"/>
    <w:rsid w:val="781412B5"/>
    <w:rsid w:val="782669C8"/>
    <w:rsid w:val="78291BE7"/>
    <w:rsid w:val="78644F8D"/>
    <w:rsid w:val="78647041"/>
    <w:rsid w:val="78F37D78"/>
    <w:rsid w:val="7936583D"/>
    <w:rsid w:val="797B2ECF"/>
    <w:rsid w:val="797D7F1B"/>
    <w:rsid w:val="79AB5D1D"/>
    <w:rsid w:val="79D136E6"/>
    <w:rsid w:val="79DB60A8"/>
    <w:rsid w:val="79E52859"/>
    <w:rsid w:val="79F163C3"/>
    <w:rsid w:val="7A051599"/>
    <w:rsid w:val="7A171493"/>
    <w:rsid w:val="7A8157E9"/>
    <w:rsid w:val="7AAA71C5"/>
    <w:rsid w:val="7ABC52BD"/>
    <w:rsid w:val="7ADF0B6D"/>
    <w:rsid w:val="7AEA21EA"/>
    <w:rsid w:val="7AFE6458"/>
    <w:rsid w:val="7B000150"/>
    <w:rsid w:val="7B426758"/>
    <w:rsid w:val="7B4C0524"/>
    <w:rsid w:val="7B5C4C98"/>
    <w:rsid w:val="7B66198B"/>
    <w:rsid w:val="7B772BB7"/>
    <w:rsid w:val="7B7D1E51"/>
    <w:rsid w:val="7B805C89"/>
    <w:rsid w:val="7B8848C3"/>
    <w:rsid w:val="7B8C6B3B"/>
    <w:rsid w:val="7BCC7A7B"/>
    <w:rsid w:val="7BFA6B7C"/>
    <w:rsid w:val="7C0F5B51"/>
    <w:rsid w:val="7C0F6461"/>
    <w:rsid w:val="7C1C0662"/>
    <w:rsid w:val="7C284B9F"/>
    <w:rsid w:val="7C350F81"/>
    <w:rsid w:val="7C457B9C"/>
    <w:rsid w:val="7C631221"/>
    <w:rsid w:val="7C7C44BA"/>
    <w:rsid w:val="7D122993"/>
    <w:rsid w:val="7D183B90"/>
    <w:rsid w:val="7D2F6E2D"/>
    <w:rsid w:val="7D7B6851"/>
    <w:rsid w:val="7D7D3E8C"/>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file:///C:\Users\Amin\Documents\image001.jpg@01D9C16E.ECACA100" TargetMode="External"/><Relationship Id="rId37" Type="http://schemas.openxmlformats.org/officeDocument/2006/relationships/image" Target="media/image31.jpe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211</TotalTime>
  <ScaleCrop>false</ScaleCrop>
  <LinksUpToDate>false</LinksUpToDate>
  <CharactersWithSpaces>10554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2023-11-09T05:47:13Z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19BFFBFDD3A34910ACA3D3955C144D43_12</vt:lpwstr>
  </property>
</Properties>
</file>