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325297004"/>
      <w:bookmarkStart w:id="3" w:name="_Toc530908055"/>
      <w:bookmarkStart w:id="4" w:name="_Toc17031"/>
      <w:bookmarkStart w:id="5" w:name="_Toc530450921"/>
      <w:bookmarkStart w:id="6" w:name="_Toc4314"/>
      <w:bookmarkStart w:id="7" w:name="_Toc206431052"/>
      <w:bookmarkStart w:id="8" w:name="_Toc20643110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8204"/>
      <w:bookmarkStart w:id="12" w:name="_Toc25909"/>
      <w:bookmarkStart w:id="13" w:name="_Toc530450922"/>
      <w:bookmarkStart w:id="14" w:name="_Toc530908056"/>
      <w:bookmarkStart w:id="15" w:name="_Toc206431053"/>
      <w:bookmarkStart w:id="16" w:name="_Toc206431106"/>
      <w:bookmarkStart w:id="17" w:name="_Toc325297005"/>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206431057"/>
      <w:bookmarkStart w:id="20" w:name="_Toc529080477"/>
      <w:bookmarkStart w:id="21" w:name="_Toc17264"/>
      <w:bookmarkStart w:id="22" w:name="_Toc528568461"/>
      <w:bookmarkStart w:id="23" w:name="_Toc528573756"/>
      <w:bookmarkStart w:id="24" w:name="_Toc206431110"/>
      <w:bookmarkStart w:id="25" w:name="_Toc530908060"/>
      <w:bookmarkStart w:id="26" w:name="_Toc19177"/>
      <w:bookmarkStart w:id="27" w:name="_Toc528572769"/>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9080481"/>
      <w:bookmarkStart w:id="30" w:name="_Toc325297008"/>
      <w:bookmarkStart w:id="31" w:name="_Toc528568465"/>
      <w:bookmarkStart w:id="32" w:name="_Toc528572773"/>
      <w:bookmarkStart w:id="33" w:name="_Toc530908061"/>
      <w:bookmarkStart w:id="34" w:name="_Toc206431058"/>
      <w:bookmarkStart w:id="35" w:name="_Toc519330233"/>
      <w:bookmarkStart w:id="36" w:name="_Toc528573760"/>
      <w:bookmarkStart w:id="37" w:name="_Toc20643111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8207"/>
      <w:bookmarkStart w:id="41" w:name="_Toc206431114"/>
      <w:bookmarkStart w:id="42" w:name="_Toc325297010"/>
      <w:bookmarkStart w:id="43" w:name="_Toc206431061"/>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062"/>
      <w:bookmarkStart w:id="46" w:name="_Toc13326"/>
      <w:bookmarkStart w:id="47" w:name="_Toc206431115"/>
      <w:bookmarkStart w:id="48" w:name="_Toc325297011"/>
      <w:bookmarkStart w:id="49" w:name="_Toc12938"/>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5958"/>
      <w:bookmarkStart w:id="51" w:name="_Toc12289"/>
      <w:bookmarkStart w:id="52" w:name="_Toc530908064"/>
      <w:bookmarkStart w:id="53" w:name="_Toc206431119"/>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3" w:name="_预算项目列表页面"/>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bookmarkEnd w:id="63"/>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"https://www.kdocs.cn/l/cqNHCh6uVKhs"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szCs w:val="21"/>
                <w:lang w:val="en-US" w:eastAsia="zh-CN"/>
                <w14:textFill>
                  <w14:solidFill>
                    <w14:schemeClr w14:val="tx1"/>
                  </w14:solidFill>
                </w14:textFill>
              </w:rPr>
              <w:t>MPM预算项目导入模版.xlsx</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"https://www.kdocs.cn/l/cqNHCh6uVKhs" </w:instrText>
            </w:r>
            <w:r>
              <w:rPr>
                <w:rFonts w:hint="eastAsia" w:ascii="微软雅黑" w:hAnsi="微软雅黑" w:eastAsia="微软雅黑" w:cs="微软雅黑"/>
                <w:color w:val="auto"/>
                <w:szCs w:val="21"/>
                <w:lang w:val="en-US" w:eastAsia="zh-CN"/>
              </w:rPr>
              <w:fldChar w:fldCharType="separate"/>
            </w:r>
            <w:r>
              <w:rPr>
                <w:rStyle w:val="31"/>
                <w:rFonts w:hint="eastAsia" w:ascii="微软雅黑" w:hAnsi="微软雅黑" w:eastAsia="微软雅黑" w:cs="微软雅黑"/>
                <w:szCs w:val="21"/>
                <w:lang w:val="en-US" w:eastAsia="zh-CN"/>
              </w:rPr>
              <w:t>MPM预算项目导入模版.xlsx</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1"/>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92D050"/>
                <w:szCs w:val="21"/>
                <w:lang w:val="en-US" w:eastAsia="zh-CN"/>
              </w:rPr>
              <w:t>授权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点击授权弹出【选择授权对象】，选择授予该项目权限的用户(可多选)，被授权的用户将具有该项目的【查看】【委派】【立项】功能</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授权负责人替代原来的项目负责人字段，多授权负责人的情况下，立项时自动填充到立项页面的项目负责人则为立项用户本人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4" w:name="_导入预算项目"/>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bookmarkEnd w:id="64"/>
    <w:p>
      <w:pPr>
        <w:pStyle w:val="58"/>
        <w:numPr>
          <w:ilvl w:val="0"/>
          <w:numId w:val="0"/>
        </w:numPr>
        <w:ind w:leftChars="0"/>
      </w:pPr>
      <w:r>
        <w:drawing>
          <wp:inline distT="0" distB="0" distL="114300" distR="114300">
            <wp:extent cx="5266690" cy="3005455"/>
            <wp:effectExtent l="0" t="0" r="10160"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5"/>
                    <a:stretch>
                      <a:fillRect/>
                    </a:stretch>
                  </pic:blipFill>
                  <pic:spPr>
                    <a:xfrm>
                      <a:off x="0" y="0"/>
                      <a:ext cx="5266690" cy="3005455"/>
                    </a:xfrm>
                    <a:prstGeom prst="rect">
                      <a:avLst/>
                    </a:prstGeom>
                    <a:noFill/>
                    <a:ln>
                      <a:noFill/>
                    </a:ln>
                  </pic:spPr>
                </pic:pic>
              </a:graphicData>
            </a:graphic>
          </wp:inline>
        </w:drawing>
      </w:r>
    </w:p>
    <w:p>
      <w:pPr>
        <w:pStyle w:val="58"/>
        <w:numPr>
          <w:ilvl w:val="0"/>
          <w:numId w:val="0"/>
        </w:numPr>
        <w:ind w:leftChars="0"/>
      </w:pP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r>
              <w:rPr>
                <w:rFonts w:hint="eastAsia" w:ascii="微软雅黑" w:hAnsi="微软雅黑" w:eastAsia="微软雅黑" w:cs="微软雅黑"/>
                <w:b w:val="0"/>
                <w:bCs w:val="0"/>
                <w:i w:val="0"/>
                <w:iCs w:val="0"/>
                <w:color w:val="808080" w:themeColor="text1" w:themeTint="80"/>
                <w:sz w:val="16"/>
                <w:szCs w:val="16"/>
                <w:u w:val="none"/>
                <w:lang w:val="en-US" w:eastAsia="zh-CN"/>
                <w14:textFill>
                  <w14:solidFill>
                    <w14:schemeClr w14:val="tx1">
                      <w14:lumMod w14:val="50000"/>
                      <w14:lumOff w14:val="50000"/>
                    </w14:schemeClr>
                  </w14:solidFill>
                </w14:textFill>
              </w:rPr>
              <w:t>（除特别标注外，都是必填项）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r>
              <w:rPr>
                <w:rFonts w:hint="eastAsia" w:ascii="微软雅黑" w:hAnsi="微软雅黑" w:eastAsia="微软雅黑" w:cs="微软雅黑"/>
                <w:b w:val="0"/>
                <w:bCs w:val="0"/>
                <w:i w:val="0"/>
                <w:iCs w:val="0"/>
                <w:color w:val="808080" w:themeColor="text1" w:themeTint="80"/>
                <w:sz w:val="16"/>
                <w:szCs w:val="16"/>
                <w:u w:val="none"/>
                <w:lang w:val="en-US" w:eastAsia="zh-CN"/>
                <w14:textFill>
                  <w14:solidFill>
                    <w14:schemeClr w14:val="tx1">
                      <w14:lumMod w14:val="50000"/>
                      <w14:lumOff w14:val="50000"/>
                    </w14:schemeClr>
                  </w14:solidFill>
                </w14:textFill>
              </w:rPr>
              <w:t>（除特别标注外，都是必填项）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点击之后弹出【导入结果】弹窗，导入成功则提示“预算项目导入成功”，存在错误数据则导入失败，提示“存在输入有误的数据，导入失败，文件中已附带错误信息，请修改后再导入”</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输入有误的情况错误信息：</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格式错误：【错误字段名】格式不正确</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无法匹配系统选项：【不匹配的字段名】无法匹配到系统选项</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找不到负责人：系统找不到责任人</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strike/>
          <w:dstrike w:val="0"/>
          <w:color w:val="000000" w:themeColor="text1"/>
          <w:kern w:val="0"/>
          <w:sz w:val="24"/>
          <w:szCs w:val="21"/>
          <w:lang w:val="en-US" w:eastAsia="zh-CN" w:bidi="ar-SA"/>
          <w14:textFill>
            <w14:solidFill>
              <w14:schemeClr w14:val="tx1"/>
            </w14:solidFill>
          </w14:textFill>
        </w:rPr>
      </w:pPr>
      <w:bookmarkStart w:id="65" w:name="_导入结果"/>
      <w:r>
        <w:rPr>
          <w:rFonts w:hint="eastAsia" w:ascii="微软雅黑" w:hAnsi="微软雅黑" w:eastAsia="微软雅黑" w:cs="微软雅黑"/>
          <w:b/>
          <w:bCs/>
          <w:strike/>
          <w:dstrike w:val="0"/>
          <w:color w:val="000000" w:themeColor="text1"/>
          <w:kern w:val="0"/>
          <w:sz w:val="24"/>
          <w:szCs w:val="21"/>
          <w:lang w:val="en-US" w:eastAsia="zh-CN" w:bidi="ar-SA"/>
          <w14:textFill>
            <w14:solidFill>
              <w14:schemeClr w14:val="tx1"/>
            </w14:solidFill>
          </w14:textFill>
        </w:rPr>
        <w:t>导入结果</w:t>
      </w:r>
    </w:p>
    <w:bookmarkEnd w:id="65"/>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点击【下载】则将上传失败的主数据和业务数据导出，格式为Excel，排版与上传的文件一致。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6"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6"/>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7"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7"/>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564"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8"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8"/>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9" w:name="_Toc2335"/>
      <w:r>
        <w:rPr>
          <w:rFonts w:hint="eastAsia" w:ascii="微软雅黑" w:hAnsi="微软雅黑" w:eastAsia="微软雅黑" w:cs="微软雅黑"/>
          <w:color w:val="000000" w:themeColor="text1"/>
          <w14:textFill>
            <w14:solidFill>
              <w14:schemeClr w14:val="tx1"/>
            </w14:solidFill>
          </w14:textFill>
        </w:rPr>
        <w:t>数据看板</w:t>
      </w:r>
      <w:bookmarkEnd w:id="69"/>
    </w:p>
    <w:p>
      <w:pPr>
        <w:pStyle w:val="4"/>
        <w:rPr>
          <w:rFonts w:ascii="微软雅黑" w:hAnsi="微软雅黑" w:eastAsia="微软雅黑" w:cs="微软雅黑"/>
          <w:color w:val="000000" w:themeColor="text1"/>
          <w14:textFill>
            <w14:solidFill>
              <w14:schemeClr w14:val="tx1"/>
            </w14:solidFill>
          </w14:textFill>
        </w:rPr>
      </w:pPr>
      <w:bookmarkStart w:id="70" w:name="_Toc30408"/>
      <w:r>
        <w:rPr>
          <w:rFonts w:hint="eastAsia" w:ascii="微软雅黑" w:hAnsi="微软雅黑" w:eastAsia="微软雅黑" w:cs="微软雅黑"/>
          <w:color w:val="000000" w:themeColor="text1"/>
          <w14:textFill>
            <w14:solidFill>
              <w14:schemeClr w14:val="tx1"/>
            </w14:solidFill>
          </w14:textFill>
        </w:rPr>
        <w:t>概述</w:t>
      </w:r>
      <w:bookmarkEnd w:id="70"/>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71" w:name="_Toc3117"/>
      <w:r>
        <w:rPr>
          <w:rFonts w:hint="eastAsia" w:ascii="微软雅黑" w:hAnsi="微软雅黑" w:eastAsia="微软雅黑" w:cs="微软雅黑"/>
          <w:color w:val="000000" w:themeColor="text1"/>
          <w14:textFill>
            <w14:solidFill>
              <w14:schemeClr w14:val="tx1"/>
            </w14:solidFill>
          </w14:textFill>
        </w:rPr>
        <w:t>功能入口</w:t>
      </w:r>
      <w:bookmarkEnd w:id="71"/>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72" w:name="_Toc15183"/>
      <w:r>
        <w:rPr>
          <w:rFonts w:hint="eastAsia" w:ascii="微软雅黑" w:hAnsi="微软雅黑" w:eastAsia="微软雅黑" w:cs="微软雅黑"/>
          <w:color w:val="000000" w:themeColor="text1"/>
          <w14:textFill>
            <w14:solidFill>
              <w14:schemeClr w14:val="tx1"/>
            </w14:solidFill>
          </w14:textFill>
        </w:rPr>
        <w:t>用户界面</w:t>
      </w:r>
      <w:bookmarkEnd w:id="72"/>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3"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3"/>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4" w:name="_Toc168"/>
      <w:r>
        <w:rPr>
          <w:rFonts w:hint="eastAsia" w:ascii="微软雅黑" w:hAnsi="微软雅黑" w:eastAsia="微软雅黑" w:cs="微软雅黑"/>
          <w:color w:val="000000" w:themeColor="text1"/>
          <w14:textFill>
            <w14:solidFill>
              <w14:schemeClr w14:val="tx1"/>
            </w14:solidFill>
          </w14:textFill>
        </w:rPr>
        <w:t>财务数据回传MPM</w:t>
      </w:r>
      <w:bookmarkEnd w:id="74"/>
    </w:p>
    <w:p>
      <w:pPr>
        <w:pStyle w:val="4"/>
        <w:rPr>
          <w:rFonts w:ascii="微软雅黑" w:hAnsi="微软雅黑" w:eastAsia="微软雅黑" w:cs="微软雅黑"/>
          <w:color w:val="000000" w:themeColor="text1"/>
          <w14:textFill>
            <w14:solidFill>
              <w14:schemeClr w14:val="tx1"/>
            </w14:solidFill>
          </w14:textFill>
        </w:rPr>
      </w:pPr>
      <w:bookmarkStart w:id="75" w:name="_Toc5712"/>
      <w:r>
        <w:rPr>
          <w:rFonts w:hint="eastAsia" w:ascii="微软雅黑" w:hAnsi="微软雅黑" w:eastAsia="微软雅黑" w:cs="微软雅黑"/>
          <w:color w:val="000000" w:themeColor="text1"/>
          <w14:textFill>
            <w14:solidFill>
              <w14:schemeClr w14:val="tx1"/>
            </w14:solidFill>
          </w14:textFill>
        </w:rPr>
        <w:t>概述</w:t>
      </w:r>
      <w:bookmarkEnd w:id="7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6" w:name="_Toc19054"/>
      <w:r>
        <w:rPr>
          <w:rFonts w:hint="eastAsia" w:ascii="微软雅黑" w:hAnsi="微软雅黑" w:eastAsia="微软雅黑" w:cs="微软雅黑"/>
          <w:color w:val="000000" w:themeColor="text1"/>
          <w14:textFill>
            <w14:solidFill>
              <w14:schemeClr w14:val="tx1"/>
            </w14:solidFill>
          </w14:textFill>
        </w:rPr>
        <w:t>MPM所需字段</w:t>
      </w:r>
      <w:bookmarkEnd w:id="76"/>
      <w:bookmarkStart w:id="77" w:name="MPM所需字段"/>
    </w:p>
    <w:bookmarkEnd w:id="77"/>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8"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8"/>
    </w:p>
    <w:p>
      <w:pPr>
        <w:pStyle w:val="5"/>
        <w:rPr>
          <w:rFonts w:ascii="微软雅黑" w:hAnsi="微软雅黑" w:eastAsia="微软雅黑"/>
          <w:sz w:val="24"/>
          <w:szCs w:val="24"/>
        </w:rPr>
      </w:pPr>
      <w:bookmarkStart w:id="79" w:name="_Toc13269"/>
      <w:r>
        <w:rPr>
          <w:rFonts w:hint="eastAsia" w:ascii="微软雅黑" w:hAnsi="微软雅黑" w:eastAsia="微软雅黑"/>
          <w:sz w:val="24"/>
          <w:szCs w:val="24"/>
        </w:rPr>
        <w:t>对接方式</w:t>
      </w:r>
      <w:bookmarkEnd w:id="79"/>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80"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80"/>
    </w:p>
    <w:p>
      <w:pPr>
        <w:pStyle w:val="5"/>
        <w:rPr>
          <w:rFonts w:ascii="微软雅黑" w:hAnsi="微软雅黑" w:eastAsia="微软雅黑"/>
          <w:sz w:val="24"/>
          <w:szCs w:val="24"/>
        </w:rPr>
      </w:pPr>
      <w:bookmarkStart w:id="81" w:name="_Toc32296"/>
      <w:r>
        <w:rPr>
          <w:rFonts w:hint="eastAsia" w:ascii="微软雅黑" w:hAnsi="微软雅黑" w:eastAsia="微软雅黑"/>
          <w:sz w:val="24"/>
          <w:szCs w:val="24"/>
        </w:rPr>
        <w:t>对接方式</w:t>
      </w:r>
      <w:bookmarkEnd w:id="8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2"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82"/>
    </w:p>
    <w:p>
      <w:pPr>
        <w:pStyle w:val="5"/>
        <w:rPr>
          <w:rFonts w:ascii="微软雅黑" w:hAnsi="微软雅黑" w:eastAsia="微软雅黑"/>
          <w:sz w:val="24"/>
          <w:szCs w:val="24"/>
        </w:rPr>
      </w:pPr>
      <w:bookmarkStart w:id="83" w:name="_Toc23250"/>
      <w:r>
        <w:rPr>
          <w:rFonts w:hint="eastAsia" w:ascii="微软雅黑" w:hAnsi="微软雅黑" w:eastAsia="微软雅黑"/>
          <w:sz w:val="24"/>
          <w:szCs w:val="24"/>
        </w:rPr>
        <w:t>对接方式</w:t>
      </w:r>
      <w:bookmarkEnd w:id="83"/>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595"/>
      <w:r>
        <w:rPr>
          <w:rFonts w:hint="eastAsia" w:ascii="微软雅黑" w:hAnsi="微软雅黑" w:eastAsia="微软雅黑" w:cs="微软雅黑"/>
          <w:color w:val="000000" w:themeColor="text1"/>
          <w14:textFill>
            <w14:solidFill>
              <w14:schemeClr w14:val="tx1"/>
            </w14:solidFill>
          </w14:textFill>
        </w:rPr>
        <w:t>数据权限管理</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5123"/>
      <w:r>
        <w:rPr>
          <w:rFonts w:hint="eastAsia" w:ascii="微软雅黑" w:hAnsi="微软雅黑" w:eastAsia="微软雅黑" w:cs="微软雅黑"/>
          <w:color w:val="000000" w:themeColor="text1"/>
          <w14:textFill>
            <w14:solidFill>
              <w14:schemeClr w14:val="tx1"/>
            </w14:solidFill>
          </w14:textFill>
        </w:rPr>
        <w:t>概述</w:t>
      </w:r>
      <w:bookmarkEnd w:id="8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6" w:name="_Toc851"/>
      <w:r>
        <w:rPr>
          <w:rFonts w:hint="eastAsia" w:ascii="微软雅黑" w:hAnsi="微软雅黑" w:eastAsia="微软雅黑" w:cs="微软雅黑"/>
          <w:color w:val="000000" w:themeColor="text1"/>
          <w14:textFill>
            <w14:solidFill>
              <w14:schemeClr w14:val="tx1"/>
            </w14:solidFill>
          </w14:textFill>
        </w:rPr>
        <w:t>用户界面</w:t>
      </w:r>
      <w:bookmarkEnd w:id="86"/>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7" w:name="_Toc31271"/>
      <w:r>
        <w:rPr>
          <w:rFonts w:hint="eastAsia" w:ascii="微软雅黑" w:hAnsi="微软雅黑" w:eastAsia="微软雅黑" w:cs="微软雅黑"/>
          <w:color w:val="000000" w:themeColor="text1"/>
          <w14:textFill>
            <w14:solidFill>
              <w14:schemeClr w14:val="tx1"/>
            </w14:solidFill>
          </w14:textFill>
        </w:rPr>
        <w:t>营销知识库</w:t>
      </w:r>
      <w:bookmarkEnd w:id="87"/>
    </w:p>
    <w:p>
      <w:pPr>
        <w:pStyle w:val="4"/>
        <w:rPr>
          <w:rFonts w:ascii="微软雅黑" w:hAnsi="微软雅黑" w:eastAsia="微软雅黑" w:cs="微软雅黑"/>
          <w:color w:val="000000" w:themeColor="text1"/>
          <w14:textFill>
            <w14:solidFill>
              <w14:schemeClr w14:val="tx1"/>
            </w14:solidFill>
          </w14:textFill>
        </w:rPr>
      </w:pPr>
      <w:bookmarkStart w:id="88" w:name="_Toc32754"/>
      <w:r>
        <w:rPr>
          <w:rFonts w:hint="eastAsia" w:ascii="微软雅黑" w:hAnsi="微软雅黑" w:eastAsia="微软雅黑" w:cs="微软雅黑"/>
          <w:color w:val="000000" w:themeColor="text1"/>
          <w14:textFill>
            <w14:solidFill>
              <w14:schemeClr w14:val="tx1"/>
            </w14:solidFill>
          </w14:textFill>
        </w:rPr>
        <w:t>概述</w:t>
      </w:r>
      <w:bookmarkEnd w:id="88"/>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9" w:name="_Toc29552"/>
      <w:r>
        <w:rPr>
          <w:rFonts w:hint="eastAsia" w:ascii="微软雅黑" w:hAnsi="微软雅黑" w:eastAsia="微软雅黑" w:cs="微软雅黑"/>
          <w:color w:val="000000" w:themeColor="text1"/>
          <w14:textFill>
            <w14:solidFill>
              <w14:schemeClr w14:val="tx1"/>
            </w14:solidFill>
          </w14:textFill>
        </w:rPr>
        <w:t>功能入口</w:t>
      </w:r>
      <w:bookmarkEnd w:id="8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0" w:name="_Toc14022"/>
      <w:r>
        <w:rPr>
          <w:rFonts w:hint="eastAsia" w:ascii="微软雅黑" w:hAnsi="微软雅黑" w:eastAsia="微软雅黑" w:cs="微软雅黑"/>
          <w:color w:val="000000" w:themeColor="text1"/>
          <w14:textFill>
            <w14:solidFill>
              <w14:schemeClr w14:val="tx1"/>
            </w14:solidFill>
          </w14:textFill>
        </w:rPr>
        <w:t>用户界面</w:t>
      </w:r>
      <w:bookmarkEnd w:id="90"/>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1"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1"/>
    </w:p>
    <w:p>
      <w:pPr>
        <w:pStyle w:val="4"/>
        <w:rPr>
          <w:rFonts w:ascii="微软雅黑" w:hAnsi="微软雅黑" w:eastAsia="微软雅黑" w:cs="微软雅黑"/>
          <w:color w:val="000000" w:themeColor="text1"/>
          <w14:textFill>
            <w14:solidFill>
              <w14:schemeClr w14:val="tx1"/>
            </w14:solidFill>
          </w14:textFill>
        </w:rPr>
      </w:pPr>
      <w:bookmarkStart w:id="92" w:name="_Toc29806"/>
      <w:r>
        <w:rPr>
          <w:rFonts w:hint="eastAsia" w:ascii="微软雅黑" w:hAnsi="微软雅黑" w:eastAsia="微软雅黑" w:cs="微软雅黑"/>
          <w:color w:val="000000" w:themeColor="text1"/>
          <w14:textFill>
            <w14:solidFill>
              <w14:schemeClr w14:val="tx1"/>
            </w14:solidFill>
          </w14:textFill>
        </w:rPr>
        <w:t>概述</w:t>
      </w:r>
      <w:bookmarkEnd w:id="92"/>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3" w:name="_Toc19698"/>
      <w:r>
        <w:rPr>
          <w:rFonts w:hint="eastAsia" w:ascii="微软雅黑" w:hAnsi="微软雅黑" w:eastAsia="微软雅黑" w:cs="微软雅黑"/>
          <w:color w:val="000000" w:themeColor="text1"/>
          <w14:textFill>
            <w14:solidFill>
              <w14:schemeClr w14:val="tx1"/>
            </w14:solidFill>
          </w14:textFill>
        </w:rPr>
        <w:t>功能入口</w:t>
      </w:r>
      <w:bookmarkEnd w:id="93"/>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4" w:name="_Toc28573"/>
      <w:r>
        <w:rPr>
          <w:rFonts w:hint="eastAsia" w:ascii="微软雅黑" w:hAnsi="微软雅黑" w:eastAsia="微软雅黑" w:cs="微软雅黑"/>
          <w:color w:val="000000" w:themeColor="text1"/>
          <w14:textFill>
            <w14:solidFill>
              <w14:schemeClr w14:val="tx1"/>
            </w14:solidFill>
          </w14:textFill>
        </w:rPr>
        <w:t>用户界面</w:t>
      </w:r>
      <w:bookmarkEnd w:id="94"/>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5" w:name="_Toc5282"/>
      <w:r>
        <w:rPr>
          <w:rFonts w:hint="eastAsia" w:ascii="微软雅黑" w:hAnsi="微软雅黑" w:eastAsia="微软雅黑" w:cs="微软雅黑"/>
          <w:color w:val="000000" w:themeColor="text1"/>
          <w14:textFill>
            <w14:solidFill>
              <w14:schemeClr w14:val="tx1"/>
            </w14:solidFill>
          </w14:textFill>
        </w:rPr>
        <w:t>发文公告</w:t>
      </w:r>
      <w:bookmarkEnd w:id="95"/>
    </w:p>
    <w:p>
      <w:pPr>
        <w:pStyle w:val="4"/>
        <w:rPr>
          <w:rFonts w:ascii="微软雅黑" w:hAnsi="微软雅黑" w:eastAsia="微软雅黑" w:cs="微软雅黑"/>
          <w:color w:val="000000" w:themeColor="text1"/>
          <w14:textFill>
            <w14:solidFill>
              <w14:schemeClr w14:val="tx1"/>
            </w14:solidFill>
          </w14:textFill>
        </w:rPr>
      </w:pPr>
      <w:bookmarkStart w:id="96" w:name="_Toc2419"/>
      <w:r>
        <w:rPr>
          <w:rFonts w:hint="eastAsia" w:ascii="微软雅黑" w:hAnsi="微软雅黑" w:eastAsia="微软雅黑" w:cs="微软雅黑"/>
          <w:color w:val="000000" w:themeColor="text1"/>
          <w14:textFill>
            <w14:solidFill>
              <w14:schemeClr w14:val="tx1"/>
            </w14:solidFill>
          </w14:textFill>
        </w:rPr>
        <w:t>概述</w:t>
      </w:r>
      <w:bookmarkEnd w:id="96"/>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7" w:name="_Toc7830"/>
      <w:r>
        <w:rPr>
          <w:rFonts w:hint="eastAsia" w:ascii="微软雅黑" w:hAnsi="微软雅黑" w:eastAsia="微软雅黑" w:cs="微软雅黑"/>
          <w:color w:val="000000" w:themeColor="text1"/>
          <w14:textFill>
            <w14:solidFill>
              <w14:schemeClr w14:val="tx1"/>
            </w14:solidFill>
          </w14:textFill>
        </w:rPr>
        <w:t>功能入口</w:t>
      </w:r>
      <w:bookmarkEnd w:id="97"/>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8" w:name="_Toc26330"/>
      <w:r>
        <w:rPr>
          <w:rFonts w:hint="eastAsia" w:ascii="微软雅黑" w:hAnsi="微软雅黑" w:eastAsia="微软雅黑" w:cs="微软雅黑"/>
          <w:color w:val="000000" w:themeColor="text1"/>
          <w14:textFill>
            <w14:solidFill>
              <w14:schemeClr w14:val="tx1"/>
            </w14:solidFill>
          </w14:textFill>
        </w:rPr>
        <w:t>用户界面</w:t>
      </w:r>
      <w:bookmarkEnd w:id="98"/>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9"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9"/>
    </w:p>
    <w:p>
      <w:pPr>
        <w:pStyle w:val="4"/>
        <w:rPr>
          <w:rFonts w:ascii="微软雅黑" w:hAnsi="微软雅黑" w:eastAsia="微软雅黑" w:cs="微软雅黑"/>
          <w:color w:val="000000" w:themeColor="text1"/>
          <w14:textFill>
            <w14:solidFill>
              <w14:schemeClr w14:val="tx1"/>
            </w14:solidFill>
          </w14:textFill>
        </w:rPr>
      </w:pPr>
      <w:bookmarkStart w:id="100" w:name="_Toc1580"/>
      <w:r>
        <w:rPr>
          <w:rFonts w:hint="eastAsia" w:ascii="微软雅黑" w:hAnsi="微软雅黑" w:eastAsia="微软雅黑" w:cs="微软雅黑"/>
          <w:color w:val="000000" w:themeColor="text1"/>
          <w14:textFill>
            <w14:solidFill>
              <w14:schemeClr w14:val="tx1"/>
            </w14:solidFill>
          </w14:textFill>
        </w:rPr>
        <w:t>概述</w:t>
      </w:r>
      <w:bookmarkEnd w:id="100"/>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1" w:name="_Toc11752"/>
      <w:r>
        <w:rPr>
          <w:rFonts w:hint="eastAsia" w:ascii="微软雅黑" w:hAnsi="微软雅黑" w:eastAsia="微软雅黑" w:cs="微软雅黑"/>
          <w:color w:val="000000" w:themeColor="text1"/>
          <w14:textFill>
            <w14:solidFill>
              <w14:schemeClr w14:val="tx1"/>
            </w14:solidFill>
          </w14:textFill>
        </w:rPr>
        <w:t>功能入口</w:t>
      </w:r>
      <w:bookmarkEnd w:id="101"/>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2" w:name="_Toc15013"/>
      <w:r>
        <w:rPr>
          <w:rFonts w:hint="eastAsia" w:ascii="微软雅黑" w:hAnsi="微软雅黑" w:eastAsia="微软雅黑" w:cs="微软雅黑"/>
          <w:color w:val="000000" w:themeColor="text1"/>
          <w14:textFill>
            <w14:solidFill>
              <w14:schemeClr w14:val="tx1"/>
            </w14:solidFill>
          </w14:textFill>
        </w:rPr>
        <w:t>用户界面</w:t>
      </w:r>
      <w:bookmarkEnd w:id="102"/>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3"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3"/>
    </w:p>
    <w:p>
      <w:pPr>
        <w:pStyle w:val="4"/>
        <w:rPr>
          <w:rFonts w:ascii="微软雅黑" w:hAnsi="微软雅黑" w:eastAsia="微软雅黑" w:cs="微软雅黑"/>
          <w:color w:val="000000" w:themeColor="text1"/>
          <w14:textFill>
            <w14:solidFill>
              <w14:schemeClr w14:val="tx1"/>
            </w14:solidFill>
          </w14:textFill>
        </w:rPr>
      </w:pPr>
      <w:bookmarkStart w:id="104" w:name="_Toc1184"/>
      <w:r>
        <w:rPr>
          <w:rFonts w:hint="eastAsia" w:ascii="微软雅黑" w:hAnsi="微软雅黑" w:eastAsia="微软雅黑" w:cs="微软雅黑"/>
          <w:color w:val="000000" w:themeColor="text1"/>
          <w14:textFill>
            <w14:solidFill>
              <w14:schemeClr w14:val="tx1"/>
            </w14:solidFill>
          </w14:textFill>
        </w:rPr>
        <w:t>概述</w:t>
      </w:r>
      <w:bookmarkEnd w:id="104"/>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5" w:name="_Toc15595"/>
      <w:r>
        <w:rPr>
          <w:rFonts w:hint="eastAsia" w:ascii="微软雅黑" w:hAnsi="微软雅黑" w:eastAsia="微软雅黑" w:cs="微软雅黑"/>
          <w:color w:val="000000" w:themeColor="text1"/>
          <w14:textFill>
            <w14:solidFill>
              <w14:schemeClr w14:val="tx1"/>
            </w14:solidFill>
          </w14:textFill>
        </w:rPr>
        <w:t>功能入口</w:t>
      </w:r>
      <w:bookmarkEnd w:id="105"/>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6" w:name="_Toc13511"/>
      <w:r>
        <w:rPr>
          <w:rFonts w:hint="eastAsia" w:ascii="微软雅黑" w:hAnsi="微软雅黑" w:eastAsia="微软雅黑" w:cs="微软雅黑"/>
          <w:color w:val="000000" w:themeColor="text1"/>
          <w14:textFill>
            <w14:solidFill>
              <w14:schemeClr w14:val="tx1"/>
            </w14:solidFill>
          </w14:textFill>
        </w:rPr>
        <w:t>用户界面</w:t>
      </w:r>
      <w:bookmarkEnd w:id="106"/>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7"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7"/>
    </w:p>
    <w:p>
      <w:pPr>
        <w:pStyle w:val="4"/>
        <w:rPr>
          <w:rFonts w:ascii="微软雅黑" w:hAnsi="微软雅黑" w:eastAsia="微软雅黑" w:cs="微软雅黑"/>
          <w:color w:val="000000" w:themeColor="text1"/>
          <w14:textFill>
            <w14:solidFill>
              <w14:schemeClr w14:val="tx1"/>
            </w14:solidFill>
          </w14:textFill>
        </w:rPr>
      </w:pPr>
      <w:bookmarkStart w:id="108" w:name="_Toc31119"/>
      <w:r>
        <w:rPr>
          <w:rFonts w:hint="eastAsia" w:ascii="微软雅黑" w:hAnsi="微软雅黑" w:eastAsia="微软雅黑" w:cs="微软雅黑"/>
          <w:color w:val="000000" w:themeColor="text1"/>
          <w14:textFill>
            <w14:solidFill>
              <w14:schemeClr w14:val="tx1"/>
            </w14:solidFill>
          </w14:textFill>
        </w:rPr>
        <w:t>概述</w:t>
      </w:r>
      <w:bookmarkEnd w:id="10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9" w:name="_Toc616"/>
      <w:r>
        <w:rPr>
          <w:rFonts w:hint="eastAsia" w:ascii="微软雅黑" w:hAnsi="微软雅黑" w:eastAsia="微软雅黑" w:cs="微软雅黑"/>
          <w:color w:val="000000" w:themeColor="text1"/>
          <w14:textFill>
            <w14:solidFill>
              <w14:schemeClr w14:val="tx1"/>
            </w14:solidFill>
          </w14:textFill>
        </w:rPr>
        <w:t>功能入口</w:t>
      </w:r>
      <w:bookmarkEnd w:id="10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0" w:name="_Toc12724"/>
      <w:r>
        <w:rPr>
          <w:rFonts w:hint="eastAsia" w:ascii="微软雅黑" w:hAnsi="微软雅黑" w:eastAsia="微软雅黑" w:cs="微软雅黑"/>
          <w:color w:val="000000" w:themeColor="text1"/>
          <w14:textFill>
            <w14:solidFill>
              <w14:schemeClr w14:val="tx1"/>
            </w14:solidFill>
          </w14:textFill>
        </w:rPr>
        <w:t>用户界面</w:t>
      </w:r>
      <w:bookmarkEnd w:id="110"/>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1"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11"/>
    </w:p>
    <w:p>
      <w:pPr>
        <w:pStyle w:val="4"/>
        <w:rPr>
          <w:rFonts w:ascii="微软雅黑" w:hAnsi="微软雅黑" w:eastAsia="微软雅黑" w:cs="微软雅黑"/>
          <w:color w:val="000000" w:themeColor="text1"/>
          <w14:textFill>
            <w14:solidFill>
              <w14:schemeClr w14:val="tx1"/>
            </w14:solidFill>
          </w14:textFill>
        </w:rPr>
      </w:pPr>
      <w:bookmarkStart w:id="112" w:name="_Toc28047"/>
      <w:r>
        <w:rPr>
          <w:rFonts w:hint="eastAsia" w:ascii="微软雅黑" w:hAnsi="微软雅黑" w:eastAsia="微软雅黑" w:cs="微软雅黑"/>
          <w:color w:val="000000" w:themeColor="text1"/>
          <w14:textFill>
            <w14:solidFill>
              <w14:schemeClr w14:val="tx1"/>
            </w14:solidFill>
          </w14:textFill>
        </w:rPr>
        <w:t>概述</w:t>
      </w:r>
      <w:bookmarkEnd w:id="112"/>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3"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3"/>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4" w:name="_Toc18085"/>
      <w:r>
        <w:rPr>
          <w:rFonts w:hint="eastAsia" w:ascii="微软雅黑" w:hAnsi="微软雅黑" w:eastAsia="微软雅黑" w:cs="微软雅黑"/>
          <w:color w:val="000000" w:themeColor="text1"/>
          <w14:textFill>
            <w14:solidFill>
              <w14:schemeClr w14:val="tx1"/>
            </w14:solidFill>
          </w14:textFill>
        </w:rPr>
        <w:t>具体优化点</w:t>
      </w:r>
      <w:bookmarkEnd w:id="114"/>
    </w:p>
    <w:p/>
    <w:p/>
    <w:p>
      <w:pPr>
        <w:pStyle w:val="5"/>
        <w:rPr>
          <w:rFonts w:ascii="微软雅黑" w:hAnsi="微软雅黑" w:eastAsia="微软雅黑"/>
        </w:rPr>
      </w:pPr>
      <w:bookmarkStart w:id="115" w:name="_Toc12418"/>
      <w:r>
        <w:rPr>
          <w:rFonts w:hint="eastAsia" w:ascii="微软雅黑" w:hAnsi="微软雅黑" w:eastAsia="微软雅黑"/>
        </w:rPr>
        <w:t>审批优化</w:t>
      </w:r>
      <w:bookmarkEnd w:id="115"/>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6" w:name="_Toc12348"/>
      <w:bookmarkStart w:id="117"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6"/>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7"/>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8" w:name="_Toc25354"/>
      <w:r>
        <w:rPr>
          <w:rFonts w:hint="eastAsia" w:ascii="微软雅黑" w:hAnsi="微软雅黑" w:eastAsia="微软雅黑"/>
          <w:sz w:val="24"/>
          <w:szCs w:val="24"/>
        </w:rPr>
        <w:t>项目状态</w:t>
      </w:r>
      <w:bookmarkEnd w:id="11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9" w:name="_Toc14049"/>
      <w:r>
        <w:rPr>
          <w:rFonts w:hint="eastAsia" w:ascii="微软雅黑" w:hAnsi="微软雅黑" w:eastAsia="微软雅黑"/>
          <w:sz w:val="24"/>
          <w:szCs w:val="24"/>
        </w:rPr>
        <w:t>项目角色</w:t>
      </w:r>
      <w:bookmarkEnd w:id="119"/>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20" w:name="_Toc12300"/>
      <w:r>
        <w:rPr>
          <w:rFonts w:hint="eastAsia" w:ascii="微软雅黑" w:hAnsi="微软雅黑" w:eastAsia="微软雅黑"/>
          <w:sz w:val="24"/>
          <w:szCs w:val="24"/>
        </w:rPr>
        <w:t>海外部署</w:t>
      </w:r>
      <w:bookmarkEnd w:id="120"/>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"_预算项目列表页面" </w:instrText>
      </w:r>
      <w:r>
        <w:rPr>
          <w:rFonts w:hint="eastAsia" w:ascii="微软雅黑" w:hAnsi="微软雅黑" w:eastAsia="微软雅黑" w:cs="微软雅黑"/>
          <w:kern w:val="0"/>
          <w:sz w:val="24"/>
          <w:szCs w:val="21"/>
          <w:lang w:val="en-US" w:eastAsia="zh-CN"/>
        </w:rPr>
        <w:fldChar w:fldCharType="separate"/>
      </w:r>
      <w:r>
        <w:rPr>
          <w:rStyle w:val="31"/>
          <w:rFonts w:hint="eastAsia" w:ascii="微软雅黑" w:hAnsi="微软雅黑" w:eastAsia="微软雅黑" w:cs="微软雅黑"/>
          <w:kern w:val="0"/>
          <w:sz w:val="24"/>
          <w:szCs w:val="21"/>
          <w:lang w:val="en-US" w:eastAsia="zh-CN"/>
        </w:rPr>
        <w:t>预算项目列表</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中【导入】【预算项目导入模版】【导出】和【授权】功能</w:t>
      </w:r>
    </w:p>
    <w:p>
      <w:pPr>
        <w:numPr>
          <w:ilvl w:val="0"/>
          <w:numId w:val="0"/>
        </w:numPr>
        <w:ind w:leftChars="0" w:firstLine="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"_导入预算项目" </w:instrText>
      </w:r>
      <w:r>
        <w:rPr>
          <w:rFonts w:hint="eastAsia" w:ascii="微软雅黑" w:hAnsi="微软雅黑" w:eastAsia="微软雅黑" w:cs="微软雅黑"/>
          <w:kern w:val="0"/>
          <w:sz w:val="24"/>
          <w:szCs w:val="21"/>
          <w:lang w:val="en-US" w:eastAsia="zh-CN"/>
        </w:rPr>
        <w:fldChar w:fldCharType="separate"/>
      </w:r>
      <w:r>
        <w:rPr>
          <w:rStyle w:val="32"/>
          <w:rFonts w:hint="eastAsia" w:ascii="微软雅黑" w:hAnsi="微软雅黑" w:eastAsia="微软雅黑" w:cs="微软雅黑"/>
          <w:kern w:val="0"/>
          <w:sz w:val="24"/>
          <w:szCs w:val="21"/>
          <w:lang w:val="en-US" w:eastAsia="zh-CN"/>
        </w:rPr>
        <w:t>导入预算项目</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新增立项，预算项目列表立项，页面新增【提交立项】按钮，在新增项目时可以直接点击【提交立项】直接提交立项，不经过保存操作。</w:t>
      </w:r>
    </w:p>
    <w:p>
      <w:pPr>
        <w:numPr>
          <w:ilvl w:val="0"/>
          <w:numId w:val="0"/>
        </w:numPr>
        <w:rPr>
          <w:rFonts w:hint="default" w:ascii="微软雅黑" w:hAnsi="微软雅黑" w:eastAsia="微软雅黑" w:cs="微软雅黑"/>
          <w:kern w:val="0"/>
          <w:sz w:val="24"/>
          <w:szCs w:val="21"/>
          <w:lang w:val="en-US" w:eastAsia="zh-CN"/>
        </w:rPr>
      </w:pP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所有的立项项目的【项目详情】页面中【附件上传】变成【附件列表】，仅展示已上传的文件，【附件上传】按钮放到【附件列表】模块的右上角。</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strike/>
          <w:dstrike w:val="0"/>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【新增项目】【预算项目列表立项】，和【项目详情】页面的大标题旁，添加一行文本“申请报销流程前必需上传合同信息”。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kern w:val="0"/>
          <w:sz w:val="24"/>
          <w:szCs w:val="21"/>
          <w:lang w:val="en-US" w:eastAsia="zh-CN"/>
        </w:rPr>
        <w:t>【预算项目列表】【预算项目详情】中，【负责人】改为【初始负责人】，【项目负责人】改为【授权负责人】，多授权责任人逗号分隔</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BPC预算部门管理</w:t>
      </w:r>
      <w:r>
        <w:rPr>
          <w:rFonts w:hint="eastAsia" w:ascii="微软雅黑" w:hAnsi="微软雅黑" w:eastAsia="微软雅黑" w:cs="微软雅黑"/>
          <w:kern w:val="0"/>
          <w:sz w:val="24"/>
          <w:szCs w:val="21"/>
          <w:lang w:val="en-US" w:eastAsia="zh-CN"/>
        </w:rPr>
        <w:t>：</w:t>
      </w: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BPC预算部门管理</w:t>
      </w:r>
      <w:r>
        <w:rPr>
          <w:rFonts w:hint="eastAsia" w:ascii="微软雅黑" w:hAnsi="微软雅黑" w:eastAsia="微软雅黑" w:cs="微软雅黑"/>
          <w:kern w:val="0"/>
          <w:sz w:val="24"/>
          <w:szCs w:val="21"/>
          <w:lang w:val="en-US" w:eastAsia="zh-CN"/>
        </w:rPr>
        <w:t>，即为BPC的预算部门映射对应的SAP组织部门，若用户为某BPC预算部门映射了SAP的组织部门，则该SAP组织部门的用户都具有该BPC预算部门所有预算项目的管理权限（查看，授权，委派，立项）。</w:t>
      </w:r>
    </w:p>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25"/>
        </w:numPr>
        <w:ind w:left="845" w:leftChars="0" w:hanging="425"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基础配置-&gt;</w:t>
      </w:r>
      <w:r>
        <w:rPr>
          <w:rFonts w:hint="eastAsia" w:ascii="微软雅黑" w:hAnsi="微软雅黑" w:eastAsia="微软雅黑" w:cs="微软雅黑"/>
          <w:strike w:val="0"/>
          <w:dstrike w:val="0"/>
          <w:kern w:val="0"/>
          <w:sz w:val="24"/>
          <w:szCs w:val="21"/>
          <w:lang w:val="en-US" w:eastAsia="zh-CN"/>
        </w:rPr>
        <w:t>BPC预算部门管理</w:t>
      </w:r>
    </w:p>
    <w:p>
      <w:pPr>
        <w:numPr>
          <w:ilvl w:val="0"/>
          <w:numId w:val="0"/>
        </w:numPr>
        <w:ind w:left="420" w:leftChars="0"/>
      </w:pPr>
      <w:r>
        <w:drawing>
          <wp:inline distT="0" distB="0" distL="114300" distR="114300">
            <wp:extent cx="5276215" cy="3054985"/>
            <wp:effectExtent l="0" t="0" r="635" b="120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1"/>
                    <a:stretch>
                      <a:fillRect/>
                    </a:stretch>
                  </pic:blipFill>
                  <pic:spPr>
                    <a:xfrm>
                      <a:off x="0" y="0"/>
                      <a:ext cx="5276215" cy="3054985"/>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b w:val="0"/>
          <w:bCs w:val="0"/>
          <w:strike w:val="0"/>
          <w:dstrike w:val="0"/>
          <w:kern w:val="0"/>
          <w:sz w:val="24"/>
          <w:szCs w:val="21"/>
          <w:lang w:val="en-US" w:eastAsia="zh-CN"/>
        </w:rPr>
        <w:t>业务规则：</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kern w:val="0"/>
          <w:sz w:val="24"/>
          <w:szCs w:val="21"/>
          <w:lang w:val="en-US" w:eastAsia="zh-CN"/>
        </w:rPr>
        <w:t>BPC预算部门和SAP组织架构部门的关系：1对N</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w:t>
      </w:r>
      <w:r>
        <w:rPr>
          <w:rFonts w:hint="eastAsia" w:ascii="微软雅黑" w:hAnsi="微软雅黑" w:eastAsia="微软雅黑" w:cs="微软雅黑"/>
          <w:kern w:val="0"/>
          <w:sz w:val="24"/>
          <w:szCs w:val="21"/>
          <w:lang w:val="en-US" w:eastAsia="zh-CN"/>
        </w:rPr>
        <w:t>BPC预算部门</w:t>
      </w:r>
      <w:r>
        <w:rPr>
          <w:rFonts w:hint="eastAsia" w:ascii="微软雅黑" w:hAnsi="微软雅黑" w:eastAsia="微软雅黑" w:cs="微软雅黑"/>
          <w:strike w:val="0"/>
          <w:dstrike w:val="0"/>
          <w:kern w:val="0"/>
          <w:sz w:val="24"/>
          <w:szCs w:val="21"/>
          <w:lang w:val="en-US" w:eastAsia="zh-CN"/>
        </w:rPr>
        <w:t>】由根据BPC提供的</w:t>
      </w:r>
      <w:r>
        <w:rPr>
          <w:rFonts w:hint="eastAsia" w:ascii="微软雅黑" w:hAnsi="微软雅黑" w:eastAsia="微软雅黑" w:cs="微软雅黑"/>
          <w:strike w:val="0"/>
          <w:dstrike w:val="0"/>
          <w:kern w:val="0"/>
          <w:sz w:val="24"/>
          <w:szCs w:val="21"/>
          <w:lang w:val="en-US" w:eastAsia="zh-CN"/>
        </w:rPr>
        <w:fldChar w:fldCharType="begin"/>
      </w:r>
      <w:r>
        <w:rPr>
          <w:rFonts w:hint="eastAsia" w:ascii="微软雅黑" w:hAnsi="微软雅黑" w:eastAsia="微软雅黑" w:cs="微软雅黑"/>
          <w:strike w:val="0"/>
          <w:dstrike w:val="0"/>
          <w:kern w:val="0"/>
          <w:sz w:val="24"/>
          <w:szCs w:val="21"/>
          <w:lang w:val="en-US" w:eastAsia="zh-CN"/>
        </w:rPr>
        <w:instrText xml:space="preserve"> HYPERLINK "https://kdocs.cn/l/cq9A8cihl91L" </w:instrText>
      </w:r>
      <w:r>
        <w:rPr>
          <w:rFonts w:hint="eastAsia" w:ascii="微软雅黑" w:hAnsi="微软雅黑" w:eastAsia="微软雅黑" w:cs="微软雅黑"/>
          <w:strike w:val="0"/>
          <w:dstrike w:val="0"/>
          <w:kern w:val="0"/>
          <w:sz w:val="24"/>
          <w:szCs w:val="21"/>
          <w:lang w:val="en-US" w:eastAsia="zh-CN"/>
        </w:rPr>
        <w:fldChar w:fldCharType="separate"/>
      </w:r>
      <w:r>
        <w:rPr>
          <w:rStyle w:val="31"/>
          <w:rFonts w:hint="eastAsia" w:ascii="微软雅黑" w:hAnsi="微软雅黑" w:eastAsia="微软雅黑" w:cs="微软雅黑"/>
          <w:strike w:val="0"/>
          <w:dstrike w:val="0"/>
          <w:kern w:val="0"/>
          <w:sz w:val="24"/>
          <w:szCs w:val="21"/>
          <w:lang w:val="en-US" w:eastAsia="zh-CN"/>
        </w:rPr>
        <w:t>预算部门</w:t>
      </w:r>
      <w:r>
        <w:rPr>
          <w:rFonts w:hint="eastAsia" w:ascii="微软雅黑" w:hAnsi="微软雅黑" w:eastAsia="微软雅黑" w:cs="微软雅黑"/>
          <w:strike w:val="0"/>
          <w:dstrike w:val="0"/>
          <w:kern w:val="0"/>
          <w:sz w:val="24"/>
          <w:szCs w:val="21"/>
          <w:lang w:val="en-US" w:eastAsia="zh-CN"/>
        </w:rPr>
        <w:fldChar w:fldCharType="end"/>
      </w:r>
      <w:r>
        <w:rPr>
          <w:rFonts w:hint="eastAsia" w:ascii="微软雅黑" w:hAnsi="微软雅黑" w:eastAsia="微软雅黑" w:cs="微软雅黑"/>
          <w:strike w:val="0"/>
          <w:dstrike w:val="0"/>
          <w:kern w:val="0"/>
          <w:sz w:val="24"/>
          <w:szCs w:val="21"/>
          <w:lang w:val="en-US" w:eastAsia="zh-CN"/>
        </w:rPr>
        <w:t>数据结构，建立一致的预算部门结构体系，作为待映的对象</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BPC提供的预算部门，对应BPC提供的预算项目业务数据中的【组织】和【组织描述】字段</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页面初始时，加载SAP组织架构，加载BPC的预算组织架构。</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BPC预算部门</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SA"/>
              </w:rPr>
            </w:pPr>
            <w:r>
              <w:rPr>
                <w:rFonts w:hint="default" w:ascii="微软雅黑" w:hAnsi="微软雅黑" w:eastAsia="微软雅黑" w:cs="微软雅黑"/>
                <w:color w:val="000000"/>
                <w:kern w:val="2"/>
                <w:sz w:val="21"/>
                <w:szCs w:val="21"/>
                <w:lang w:val="en-US" w:eastAsia="zh-CN" w:bidi="ar-SA"/>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SA"/>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初始时展示组织结构，搜索结果展示时展示上一级部门-部门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初始时展示组织结构，搜索结果展示时展示上一级部门-部门</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搜索（BPC预算部门）</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rPr>
              <w:t>根据输入的部门名称进行模糊搜索，搜索结果展示时展示上一级部门-部门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搜索（SAP组织架构）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根据输入的部门名称进行模糊搜索，搜索结果展示时展示上一级部门-部门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单选框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所勾选的预算部门作为配置映射的主体。预算部门单选</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复选框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SA"/>
              </w:rPr>
            </w:pPr>
            <w:r>
              <w:rPr>
                <w:rFonts w:hint="eastAsia" w:ascii="微软雅黑" w:hAnsi="微软雅黑" w:eastAsia="微软雅黑" w:cs="微软雅黑"/>
                <w:color w:val="000000"/>
                <w:kern w:val="2"/>
                <w:sz w:val="21"/>
                <w:szCs w:val="21"/>
                <w:lang w:val="en-US" w:eastAsia="zh-CN"/>
              </w:rPr>
              <w:t>所勾选的部门作为映射的对象，可多选</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BPC预算数据功能逻辑调整：</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w:t>
      </w:r>
    </w:p>
    <w:p>
      <w:pPr>
        <w:numPr>
          <w:numId w:val="0"/>
        </w:numPr>
        <w:ind w:left="420" w:leftChars="0" w:firstLine="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b/>
          <w:bCs/>
          <w:kern w:val="0"/>
          <w:sz w:val="24"/>
          <w:szCs w:val="21"/>
          <w:lang w:val="en-US" w:eastAsia="zh-CN"/>
        </w:rPr>
        <w:t>更新逻辑：</w:t>
      </w:r>
      <w:r>
        <w:rPr>
          <w:rFonts w:hint="eastAsia" w:ascii="微软雅黑" w:hAnsi="微软雅黑" w:eastAsia="微软雅黑" w:cs="微软雅黑"/>
          <w:kern w:val="0"/>
          <w:sz w:val="24"/>
          <w:szCs w:val="21"/>
          <w:lang w:val="en-US" w:eastAsia="zh-CN"/>
        </w:rPr>
        <w:t>按照版本、时间、项目校验，如果有相同版本、时间、项目</w:t>
      </w:r>
      <w:r>
        <w:rPr>
          <w:rFonts w:hint="eastAsia" w:ascii="微软雅黑" w:hAnsi="微软雅黑" w:eastAsia="微软雅黑" w:cs="微软雅黑"/>
          <w:kern w:val="0"/>
          <w:sz w:val="24"/>
          <w:szCs w:val="21"/>
          <w:lang w:val="en-US" w:eastAsia="zh-CN"/>
        </w:rPr>
        <w:tab/>
        <w:t>数据进来，那就先清历史数据，按版本、时间、项目接收新数据；</w:t>
      </w:r>
    </w:p>
    <w:p>
      <w:pPr>
        <w:numPr>
          <w:ilvl w:val="1"/>
          <w:numId w:val="24"/>
        </w:numPr>
        <w:ind w:left="84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初始时BPC传递的项目根据【组织】字段，分配给对应的BPC预算部门【预算部门管理员】，预算部门管理员可以再将项目授权给部门的其他成员</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立项时，【项目的负责人】不再自动填充，由用户自行选择</w:t>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dstrike w:val="0"/>
          <w:kern w:val="0"/>
          <w:sz w:val="24"/>
          <w:szCs w:val="21"/>
          <w:lang w:val="en-US" w:eastAsia="zh-CN"/>
        </w:rPr>
        <w:t>当授权责任人对预算项目进行立项时，将</w:t>
      </w:r>
      <w:r>
        <w:rPr>
          <w:rFonts w:hint="eastAsia" w:ascii="微软雅黑" w:hAnsi="微软雅黑" w:eastAsia="微软雅黑" w:cs="微软雅黑"/>
          <w:b/>
          <w:bCs/>
          <w:strike/>
          <w:dstrike w:val="0"/>
          <w:kern w:val="0"/>
          <w:sz w:val="24"/>
          <w:szCs w:val="21"/>
          <w:lang w:val="en-US" w:eastAsia="zh-CN"/>
        </w:rPr>
        <w:t>当前立项的授权责任人</w:t>
      </w:r>
      <w:r>
        <w:rPr>
          <w:rFonts w:hint="eastAsia" w:ascii="微软雅黑" w:hAnsi="微软雅黑" w:eastAsia="微软雅黑" w:cs="微软雅黑"/>
          <w:strike/>
          <w:dstrike w:val="0"/>
          <w:kern w:val="0"/>
          <w:sz w:val="24"/>
          <w:szCs w:val="21"/>
          <w:lang w:val="en-US" w:eastAsia="zh-CN"/>
        </w:rPr>
        <w:t>作为所立项目中【项目的负责人】的值</w:t>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通过预算项目立项时，在立项页面可以修改预算部门，例如预算项目中预算部门为OBG，但立项时修改为APBG，但减少的预算还是预算项目中OBG的预算。</w:t>
      </w:r>
    </w:p>
    <w:p>
      <w:pPr>
        <w:numPr>
          <w:ilvl w:val="0"/>
          <w:numId w:val="0"/>
        </w:numPr>
        <w:ind w:leftChars="0"/>
        <w:rPr>
          <w:rFonts w:hint="default" w:ascii="微软雅黑" w:hAnsi="微软雅黑" w:eastAsia="微软雅黑" w:cs="微软雅黑"/>
          <w:b/>
          <w:bCs/>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两个tab，【预算信息】中展示原来【预算项目详情】的内容，【立项明细】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项目。</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权限：预算项目中BPC预算部门所映射的SAP组织部门中的员工，委派的人，授权负责人(多负责人都可以看到相互之间通过对应预算项目立项的项目)</w:t>
      </w:r>
    </w:p>
    <w:p>
      <w:pPr>
        <w:numPr>
          <w:ilvl w:val="1"/>
          <w:numId w:val="24"/>
        </w:numPr>
        <w:ind w:left="840" w:leftChars="0" w:hanging="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项目管理-&gt;预算项目列表-&gt;预算项目详情-&gt;立项明细</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firstLine="420" w:firstLineChars="0"/>
      </w:pPr>
    </w:p>
    <w:p>
      <w:pPr>
        <w:numPr>
          <w:ilvl w:val="0"/>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drawing>
          <wp:inline distT="0" distB="0" distL="114300" distR="114300">
            <wp:extent cx="5268595" cy="3263900"/>
            <wp:effectExtent l="0" t="0" r="1905"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3"/>
                    <a:stretch>
                      <a:fillRect/>
                    </a:stretch>
                  </pic:blipFill>
                  <pic:spPr>
                    <a:xfrm>
                      <a:off x="0" y="0"/>
                      <a:ext cx="5268595" cy="3263900"/>
                    </a:xfrm>
                    <a:prstGeom prst="rect">
                      <a:avLst/>
                    </a:prstGeom>
                    <a:noFill/>
                    <a:ln>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drawing>
          <wp:inline distT="0" distB="0" distL="114300" distR="114300">
            <wp:extent cx="5272405" cy="3263265"/>
            <wp:effectExtent l="0" t="0" r="1079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2405" cy="3263265"/>
                    </a:xfrm>
                    <a:prstGeom prst="rect">
                      <a:avLst/>
                    </a:prstGeom>
                    <a:noFill/>
                    <a:ln>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ID</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合同编号，生成规则为【单据号】+【两位序号】，提交时生成。</w:t>
            </w:r>
          </w:p>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每个项目中的【两位序号】初始时从01开始依次递增，后续在序号最大值的基础上递增。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6"/>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6"/>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0"/>
        </w:numPr>
        <w:rPr>
          <w:rFonts w:hint="default" w:ascii="微软雅黑" w:hAnsi="微软雅黑" w:eastAsia="微软雅黑" w:cs="微软雅黑"/>
          <w:strike/>
          <w:dstrike w:val="0"/>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dstrike w:val="0"/>
          <w:kern w:val="0"/>
          <w:sz w:val="24"/>
          <w:szCs w:val="21"/>
          <w:lang w:val="en-US" w:eastAsia="zh-CN"/>
        </w:rPr>
        <w:t>预算管理员配置（暂时不做）</w:t>
      </w:r>
      <w:r>
        <w:rPr>
          <w:rFonts w:hint="eastAsia" w:ascii="微软雅黑" w:hAnsi="微软雅黑" w:eastAsia="微软雅黑" w:cs="微软雅黑"/>
          <w:kern w:val="0"/>
          <w:sz w:val="24"/>
          <w:szCs w:val="21"/>
          <w:lang w:val="en-US" w:eastAsia="zh-CN"/>
        </w:rPr>
        <w:t>：</w:t>
      </w: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即为BPC的预算部门分配管理者，若用户配置了某部门的预算管理范围，则该用户为该部门的【预算部门管理员】，具有该部门的所有预算项目的管理权限（查看，授权，委派，立项），该部门的所有立项项目的查看权限。非预算部门管理员只有被授权时，才具有预算项目的【查看】【委派】【立项】权限。</w:t>
      </w:r>
    </w:p>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25"/>
        </w:numPr>
        <w:ind w:left="845" w:leftChars="0" w:hanging="425"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权限管理-&gt;</w:t>
      </w:r>
      <w:r>
        <w:rPr>
          <w:rFonts w:hint="eastAsia" w:ascii="微软雅黑" w:hAnsi="微软雅黑" w:eastAsia="微软雅黑" w:cs="微软雅黑"/>
          <w:kern w:val="0"/>
          <w:sz w:val="24"/>
          <w:szCs w:val="21"/>
          <w:lang w:val="en-US" w:eastAsia="zh-CN"/>
        </w:rPr>
        <w:t>预算管理员配置</w:t>
      </w:r>
    </w:p>
    <w:p>
      <w:pPr>
        <w:numPr>
          <w:ilvl w:val="0"/>
          <w:numId w:val="0"/>
        </w:numPr>
        <w:ind w:left="420" w:leftChars="0"/>
      </w:pPr>
      <w:r>
        <w:drawing>
          <wp:inline distT="0" distB="0" distL="114300" distR="114300">
            <wp:extent cx="5267960" cy="3042920"/>
            <wp:effectExtent l="0" t="0" r="889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5"/>
                    <a:stretch>
                      <a:fillRect/>
                    </a:stretch>
                  </pic:blipFill>
                  <pic:spPr>
                    <a:xfrm>
                      <a:off x="0" y="0"/>
                      <a:ext cx="5267960" cy="3042920"/>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b w:val="0"/>
          <w:bCs w:val="0"/>
          <w:strike w:val="0"/>
          <w:dstrike w:val="0"/>
          <w:kern w:val="0"/>
          <w:sz w:val="24"/>
          <w:szCs w:val="21"/>
          <w:lang w:val="en-US" w:eastAsia="zh-CN"/>
        </w:rPr>
        <w:t>业务规则：</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w:t>
      </w:r>
      <w:r>
        <w:rPr>
          <w:rFonts w:hint="eastAsia" w:ascii="微软雅黑" w:hAnsi="微软雅黑" w:eastAsia="微软雅黑" w:cs="微软雅黑"/>
          <w:kern w:val="0"/>
          <w:sz w:val="24"/>
          <w:szCs w:val="21"/>
          <w:lang w:val="en-US" w:eastAsia="zh-CN"/>
        </w:rPr>
        <w:t>BPC的预算部门</w:t>
      </w:r>
      <w:r>
        <w:rPr>
          <w:rFonts w:hint="eastAsia" w:ascii="微软雅黑" w:hAnsi="微软雅黑" w:eastAsia="微软雅黑" w:cs="微软雅黑"/>
          <w:strike w:val="0"/>
          <w:dstrike w:val="0"/>
          <w:kern w:val="0"/>
          <w:sz w:val="24"/>
          <w:szCs w:val="21"/>
          <w:lang w:val="en-US" w:eastAsia="zh-CN"/>
        </w:rPr>
        <w:t>】由根据BPC提供的</w:t>
      </w:r>
      <w:r>
        <w:rPr>
          <w:rFonts w:hint="eastAsia" w:ascii="微软雅黑" w:hAnsi="微软雅黑" w:eastAsia="微软雅黑" w:cs="微软雅黑"/>
          <w:strike w:val="0"/>
          <w:dstrike w:val="0"/>
          <w:kern w:val="0"/>
          <w:sz w:val="24"/>
          <w:szCs w:val="21"/>
          <w:lang w:val="en-US" w:eastAsia="zh-CN"/>
        </w:rPr>
        <w:fldChar w:fldCharType="begin"/>
      </w:r>
      <w:r>
        <w:rPr>
          <w:rFonts w:hint="eastAsia" w:ascii="微软雅黑" w:hAnsi="微软雅黑" w:eastAsia="微软雅黑" w:cs="微软雅黑"/>
          <w:strike w:val="0"/>
          <w:dstrike w:val="0"/>
          <w:kern w:val="0"/>
          <w:sz w:val="24"/>
          <w:szCs w:val="21"/>
          <w:lang w:val="en-US" w:eastAsia="zh-CN"/>
        </w:rPr>
        <w:instrText xml:space="preserve"> HYPERLINK "https://kdocs.cn/l/cq9A8cihl91L" </w:instrText>
      </w:r>
      <w:r>
        <w:rPr>
          <w:rFonts w:hint="eastAsia" w:ascii="微软雅黑" w:hAnsi="微软雅黑" w:eastAsia="微软雅黑" w:cs="微软雅黑"/>
          <w:strike w:val="0"/>
          <w:dstrike w:val="0"/>
          <w:kern w:val="0"/>
          <w:sz w:val="24"/>
          <w:szCs w:val="21"/>
          <w:lang w:val="en-US" w:eastAsia="zh-CN"/>
        </w:rPr>
        <w:fldChar w:fldCharType="separate"/>
      </w:r>
      <w:r>
        <w:rPr>
          <w:rStyle w:val="31"/>
          <w:rFonts w:hint="eastAsia" w:ascii="微软雅黑" w:hAnsi="微软雅黑" w:eastAsia="微软雅黑" w:cs="微软雅黑"/>
          <w:strike w:val="0"/>
          <w:dstrike w:val="0"/>
          <w:kern w:val="0"/>
          <w:sz w:val="24"/>
          <w:szCs w:val="21"/>
          <w:lang w:val="en-US" w:eastAsia="zh-CN"/>
        </w:rPr>
        <w:t>预算部门</w:t>
      </w:r>
      <w:r>
        <w:rPr>
          <w:rFonts w:hint="eastAsia" w:ascii="微软雅黑" w:hAnsi="微软雅黑" w:eastAsia="微软雅黑" w:cs="微软雅黑"/>
          <w:strike w:val="0"/>
          <w:dstrike w:val="0"/>
          <w:kern w:val="0"/>
          <w:sz w:val="24"/>
          <w:szCs w:val="21"/>
          <w:lang w:val="en-US" w:eastAsia="zh-CN"/>
        </w:rPr>
        <w:fldChar w:fldCharType="end"/>
      </w:r>
      <w:r>
        <w:rPr>
          <w:rFonts w:hint="eastAsia" w:ascii="微软雅黑" w:hAnsi="微软雅黑" w:eastAsia="微软雅黑" w:cs="微软雅黑"/>
          <w:strike w:val="0"/>
          <w:dstrike w:val="0"/>
          <w:kern w:val="0"/>
          <w:sz w:val="24"/>
          <w:szCs w:val="21"/>
          <w:lang w:val="en-US" w:eastAsia="zh-CN"/>
        </w:rPr>
        <w:t>数据结构，建立一致的预算部门结构体系，作为【预算管理范围配置】的对象</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BPC提供的预算部门，对应BPC提供的预算项目业务数据中的【组织】和【组织描述】字段、</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页面初始时，加载SAP组织架构和架构下的人员信息，加载BPC的预算组织架构。</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预算管理员</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初始时展示组织结构及组织下的成员，搜索结果展示时仅展示员工名称-所在部门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展示BPC的预算部门结构</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搜索（预算管理员）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rPr>
              <w:t>根据输入的员工名称进行模糊搜索，搜索结果展示时仅展示员工名称-所在部门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单选框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勾选一个人员时，该人员作为预算部门管理范围的配置对象</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预算管理员只能是人员，不能是部门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复选框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所勾选的人员将成为勾选的预算部门的【预算部门管理员】。预算部门可多选，选择一个父级部门时，其下子部门也联动勾选</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strike/>
                <w:dstrike w:val="0"/>
                <w:color w:val="000000"/>
                <w:kern w:val="2"/>
                <w:sz w:val="21"/>
                <w:szCs w:val="21"/>
                <w:lang w:val="en-US"/>
              </w:rPr>
            </w:pPr>
            <w:r>
              <w:rPr>
                <w:rFonts w:hint="default" w:ascii="微软雅黑" w:hAnsi="微软雅黑" w:eastAsia="微软雅黑" w:cs="微软雅黑"/>
                <w:strike/>
                <w:dstrike w:val="0"/>
                <w:color w:val="000000"/>
                <w:kern w:val="2"/>
                <w:sz w:val="21"/>
                <w:szCs w:val="21"/>
                <w:lang w:val="en-US"/>
              </w:rPr>
              <w:t>更新BPC组织架构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strike/>
                <w:dstrike w:val="0"/>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strike/>
                <w:dstrike w:val="0"/>
                <w:color w:val="000000"/>
                <w:kern w:val="2"/>
                <w:sz w:val="21"/>
                <w:szCs w:val="21"/>
                <w:lang w:val="en-US" w:eastAsia="zh-CN"/>
              </w:rPr>
            </w:pPr>
            <w:r>
              <w:rPr>
                <w:rFonts w:hint="eastAsia" w:ascii="微软雅黑" w:hAnsi="微软雅黑" w:eastAsia="微软雅黑" w:cs="微软雅黑"/>
                <w:strike/>
                <w:dstrike w:val="0"/>
                <w:color w:val="000000"/>
                <w:kern w:val="2"/>
                <w:sz w:val="21"/>
                <w:szCs w:val="21"/>
                <w:lang w:val="en-US" w:eastAsia="zh-CN"/>
              </w:rPr>
              <w:t>点击时，获取BPC最新的组织架构数据，仅作增量处理，有修改或者新增的部门，统一作新增处理，旧部门数据保留</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bidi w:val="0"/>
      </w:pPr>
    </w:p>
    <w:p>
      <w:pPr>
        <w:pStyle w:val="5"/>
        <w:rPr>
          <w:rFonts w:ascii="微软雅黑" w:hAnsi="微软雅黑" w:eastAsia="微软雅黑"/>
          <w:sz w:val="24"/>
          <w:szCs w:val="24"/>
        </w:rPr>
      </w:pPr>
      <w:bookmarkStart w:id="122" w:name="_GoBack"/>
      <w:bookmarkEnd w:id="122"/>
      <w:r>
        <w:rPr>
          <w:rFonts w:hint="eastAsia" w:ascii="微软雅黑" w:hAnsi="微软雅黑" w:eastAsia="微软雅黑"/>
          <w:sz w:val="24"/>
          <w:szCs w:val="24"/>
          <w:lang w:val="en-US" w:eastAsia="zh-CN"/>
        </w:rPr>
        <w:t>20240230优化需求</w:t>
      </w:r>
    </w:p>
    <w:p>
      <w:pPr>
        <w:keepNext w:val="0"/>
        <w:keepLines w:val="0"/>
        <w:widowControl w:val="0"/>
        <w:numPr>
          <w:ilvl w:val="0"/>
          <w:numId w:val="27"/>
        </w:numPr>
        <w:suppressLineNumbers w:val="0"/>
        <w:spacing w:before="0" w:beforeAutospacing="0" w:after="0" w:afterAutospacing="0" w:line="400" w:lineRule="exact"/>
        <w:ind w:left="425" w:leftChars="0" w:right="0" w:hanging="425" w:firstLineChars="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【新增立项】【项目详情】的预算明细和【预算项目详情】的业务数据新增一列展示BPC的预算部门，立项时不可修改，仅作展示。</w:t>
      </w:r>
    </w:p>
    <w:p>
      <w:pPr>
        <w:keepNext w:val="0"/>
        <w:keepLines w:val="0"/>
        <w:widowControl w:val="0"/>
        <w:numPr>
          <w:ilvl w:val="0"/>
          <w:numId w:val="27"/>
        </w:numPr>
        <w:suppressLineNumbers w:val="0"/>
        <w:spacing w:before="0" w:beforeAutospacing="0" w:after="0" w:afterAutospacing="0" w:line="400" w:lineRule="exact"/>
        <w:ind w:left="425" w:leftChars="0" w:right="0" w:hanging="425" w:firstLineChars="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接收BPC预算项目的业务数据时，如果时间字段中仅月份不同，且【科目】（L2动因）和【动因】（L3,L4动因）一样合并业务数据为一条预算明细，金额为这些业务数据的金额之和。</w:t>
      </w:r>
    </w:p>
    <w:p>
      <w:pPr>
        <w:keepNext w:val="0"/>
        <w:keepLines w:val="0"/>
        <w:widowControl w:val="0"/>
        <w:numPr>
          <w:ilvl w:val="0"/>
          <w:numId w:val="27"/>
        </w:numPr>
        <w:suppressLineNumbers w:val="0"/>
        <w:spacing w:before="0" w:beforeAutospacing="0" w:after="0" w:afterAutospacing="0" w:line="400" w:lineRule="exact"/>
        <w:ind w:left="425" w:leftChars="0" w:right="0" w:hanging="425" w:firstLineChars="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BPC传递的项目主数据，如果没有相应的业务数据也展示在项目列表，项目预算总额为0，可以通过该项目进行立项，立项发起或者通过之后，该预算项目的【剩余预算金额】则为立项金额的负值。后续传递该项目的业务数据到MPM，则根据【项目预算总额】再次计算【剩余预算金额】。</w:t>
      </w:r>
    </w:p>
    <w:p>
      <w:pPr>
        <w:keepNext w:val="0"/>
        <w:keepLines w:val="0"/>
        <w:widowControl w:val="0"/>
        <w:numPr>
          <w:ilvl w:val="0"/>
          <w:numId w:val="0"/>
        </w:numPr>
        <w:suppressLineNumbers w:val="0"/>
        <w:spacing w:before="0" w:beforeAutospacing="0" w:after="0" w:afterAutospacing="0" w:line="400" w:lineRule="exact"/>
        <w:ind w:leftChars="0" w:right="0" w:rightChars="0" w:firstLine="420" w:firstLineChars="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业务场景：提前使用下一年预算</w:t>
      </w:r>
    </w:p>
    <w:p>
      <w:pPr>
        <w:keepNext w:val="0"/>
        <w:keepLines w:val="0"/>
        <w:widowControl w:val="0"/>
        <w:numPr>
          <w:ilvl w:val="0"/>
          <w:numId w:val="27"/>
        </w:numPr>
        <w:suppressLineNumbers w:val="0"/>
        <w:spacing w:before="0" w:beforeAutospacing="0" w:after="0" w:afterAutospacing="0" w:line="400" w:lineRule="exact"/>
        <w:ind w:left="425" w:leftChars="0" w:right="0" w:rightChars="0" w:hanging="425" w:firstLineChars="0"/>
        <w:jc w:val="both"/>
        <w:rPr>
          <w:rFonts w:hint="eastAsia" w:ascii="微软雅黑" w:hAnsi="微软雅黑" w:eastAsia="微软雅黑" w:cs="微软雅黑"/>
          <w:color w:val="000000"/>
          <w:kern w:val="2"/>
          <w:sz w:val="21"/>
          <w:szCs w:val="21"/>
          <w:lang w:val="en-US" w:eastAsia="zh-CN"/>
        </w:rPr>
      </w:pPr>
      <w:r>
        <w:rPr>
          <w:rFonts w:hint="default" w:ascii="微软雅黑" w:hAnsi="微软雅黑" w:eastAsia="微软雅黑" w:cs="微软雅黑"/>
          <w:color w:val="000000"/>
          <w:kern w:val="2"/>
          <w:sz w:val="21"/>
          <w:szCs w:val="21"/>
          <w:lang w:val="en-US" w:eastAsia="zh-CN"/>
        </w:rPr>
        <w:t>预算ID在立项的时候有省略号</w:t>
      </w:r>
    </w:p>
    <w:p>
      <w:pPr>
        <w:bidi w:val="0"/>
        <w:rPr>
          <w:rFonts w:hint="eastAsia" w:ascii="微软雅黑" w:hAnsi="微软雅黑" w:eastAsia="微软雅黑" w:cs="微软雅黑"/>
          <w:b w:val="0"/>
          <w:bCs w:val="0"/>
          <w:color w:val="000000"/>
          <w:kern w:val="2"/>
          <w:sz w:val="21"/>
          <w:szCs w:val="21"/>
          <w:lang w:val="en-US" w:eastAsia="zh-CN" w:bidi="ar-SA"/>
        </w:rPr>
      </w:pPr>
    </w:p>
    <w:p>
      <w:pPr>
        <w:numPr>
          <w:ilvl w:val="0"/>
          <w:numId w:val="0"/>
        </w:numPr>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8"/>
        </w:numPr>
        <w:rPr>
          <w:rFonts w:ascii="微软雅黑" w:hAnsi="微软雅黑" w:eastAsia="微软雅黑" w:cs="微软雅黑"/>
          <w:color w:val="000000" w:themeColor="text1"/>
          <w14:textFill>
            <w14:solidFill>
              <w14:schemeClr w14:val="tx1"/>
            </w14:solidFill>
          </w14:textFill>
        </w:rPr>
      </w:pPr>
      <w:bookmarkStart w:id="121" w:name="_Toc5114"/>
      <w:r>
        <w:rPr>
          <w:rFonts w:hint="eastAsia" w:ascii="微软雅黑" w:hAnsi="微软雅黑" w:eastAsia="微软雅黑" w:cs="微软雅黑"/>
          <w:color w:val="000000" w:themeColor="text1"/>
          <w14:textFill>
            <w14:solidFill>
              <w14:schemeClr w14:val="tx1"/>
            </w14:solidFill>
          </w14:textFill>
        </w:rPr>
        <w:t>原型地址</w:t>
      </w:r>
      <w:bookmarkEnd w:id="121"/>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1"/>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strike w:val="0"/>
        <w:dstrike w:val="0"/>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8B8805E"/>
    <w:multiLevelType w:val="multilevel"/>
    <w:tmpl w:val="38B8805E"/>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12">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3FBD3E6A"/>
    <w:multiLevelType w:val="singleLevel"/>
    <w:tmpl w:val="3FBD3E6A"/>
    <w:lvl w:ilvl="0" w:tentative="0">
      <w:start w:val="1"/>
      <w:numFmt w:val="decimal"/>
      <w:suff w:val="nothing"/>
      <w:lvlText w:val="（%1）"/>
      <w:lvlJc w:val="left"/>
    </w:lvl>
  </w:abstractNum>
  <w:abstractNum w:abstractNumId="15">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2219D9B"/>
    <w:multiLevelType w:val="singleLevel"/>
    <w:tmpl w:val="52219D9B"/>
    <w:lvl w:ilvl="0" w:tentative="0">
      <w:start w:val="1"/>
      <w:numFmt w:val="decimal"/>
      <w:lvlText w:val="%1."/>
      <w:lvlJc w:val="left"/>
      <w:pPr>
        <w:ind w:left="425" w:hanging="425"/>
      </w:pPr>
      <w:rPr>
        <w:rFonts w:hint="default"/>
      </w:rPr>
    </w:lvl>
  </w:abstractNum>
  <w:abstractNum w:abstractNumId="19">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54792BF8"/>
    <w:multiLevelType w:val="singleLevel"/>
    <w:tmpl w:val="54792BF8"/>
    <w:lvl w:ilvl="0" w:tentative="0">
      <w:start w:val="1"/>
      <w:numFmt w:val="decimal"/>
      <w:suff w:val="space"/>
      <w:lvlText w:val="%1."/>
      <w:lvlJc w:val="left"/>
    </w:lvl>
  </w:abstractNum>
  <w:abstractNum w:abstractNumId="22">
    <w:nsid w:val="680875EC"/>
    <w:multiLevelType w:val="singleLevel"/>
    <w:tmpl w:val="680875EC"/>
    <w:lvl w:ilvl="0" w:tentative="0">
      <w:start w:val="1"/>
      <w:numFmt w:val="decimal"/>
      <w:suff w:val="space"/>
      <w:lvlText w:val="%1."/>
      <w:lvlJc w:val="left"/>
    </w:lvl>
  </w:abstractNum>
  <w:abstractNum w:abstractNumId="23">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4">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5">
    <w:nsid w:val="78DB99E9"/>
    <w:multiLevelType w:val="singleLevel"/>
    <w:tmpl w:val="78DB99E9"/>
    <w:lvl w:ilvl="0" w:tentative="0">
      <w:start w:val="1"/>
      <w:numFmt w:val="decimal"/>
      <w:suff w:val="space"/>
      <w:lvlText w:val="%1."/>
      <w:lvlJc w:val="left"/>
    </w:lvl>
  </w:abstractNum>
  <w:abstractNum w:abstractNumId="26">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9"/>
  </w:num>
  <w:num w:numId="3">
    <w:abstractNumId w:val="23"/>
  </w:num>
  <w:num w:numId="4">
    <w:abstractNumId w:val="14"/>
  </w:num>
  <w:num w:numId="5">
    <w:abstractNumId w:val="6"/>
  </w:num>
  <w:num w:numId="6">
    <w:abstractNumId w:val="13"/>
  </w:num>
  <w:num w:numId="7">
    <w:abstractNumId w:val="21"/>
  </w:num>
  <w:num w:numId="8">
    <w:abstractNumId w:val="15"/>
  </w:num>
  <w:num w:numId="9">
    <w:abstractNumId w:val="16"/>
  </w:num>
  <w:num w:numId="10">
    <w:abstractNumId w:val="24"/>
  </w:num>
  <w:num w:numId="11">
    <w:abstractNumId w:val="9"/>
  </w:num>
  <w:num w:numId="12">
    <w:abstractNumId w:val="17"/>
  </w:num>
  <w:num w:numId="13">
    <w:abstractNumId w:val="4"/>
  </w:num>
  <w:num w:numId="14">
    <w:abstractNumId w:val="3"/>
  </w:num>
  <w:num w:numId="15">
    <w:abstractNumId w:val="2"/>
  </w:num>
  <w:num w:numId="16">
    <w:abstractNumId w:val="10"/>
  </w:num>
  <w:num w:numId="17">
    <w:abstractNumId w:val="22"/>
  </w:num>
  <w:num w:numId="18">
    <w:abstractNumId w:val="1"/>
  </w:num>
  <w:num w:numId="19">
    <w:abstractNumId w:val="25"/>
  </w:num>
  <w:num w:numId="20">
    <w:abstractNumId w:val="0"/>
  </w:num>
  <w:num w:numId="21">
    <w:abstractNumId w:val="20"/>
  </w:num>
  <w:num w:numId="22">
    <w:abstractNumId w:val="5"/>
  </w:num>
  <w:num w:numId="23">
    <w:abstractNumId w:val="26"/>
  </w:num>
  <w:num w:numId="24">
    <w:abstractNumId w:val="8"/>
  </w:num>
  <w:num w:numId="25">
    <w:abstractNumId w:val="11"/>
  </w:num>
  <w:num w:numId="26">
    <w:abstractNumId w:val="12"/>
  </w:num>
  <w:num w:numId="27">
    <w:abstractNumId w:val="18"/>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16655D"/>
    <w:rsid w:val="012D5E17"/>
    <w:rsid w:val="01433E6F"/>
    <w:rsid w:val="014A16F5"/>
    <w:rsid w:val="014D1D6F"/>
    <w:rsid w:val="015C60EC"/>
    <w:rsid w:val="015E046D"/>
    <w:rsid w:val="0165588A"/>
    <w:rsid w:val="01C75F4E"/>
    <w:rsid w:val="01CB5B9B"/>
    <w:rsid w:val="01D95551"/>
    <w:rsid w:val="02021905"/>
    <w:rsid w:val="020854E0"/>
    <w:rsid w:val="021037F6"/>
    <w:rsid w:val="02214882"/>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A504FF"/>
    <w:rsid w:val="04B3633F"/>
    <w:rsid w:val="04C35CF3"/>
    <w:rsid w:val="04E01598"/>
    <w:rsid w:val="04E41100"/>
    <w:rsid w:val="04E463AD"/>
    <w:rsid w:val="04F25889"/>
    <w:rsid w:val="05043686"/>
    <w:rsid w:val="050D4F5D"/>
    <w:rsid w:val="051C479F"/>
    <w:rsid w:val="052527A1"/>
    <w:rsid w:val="057B138A"/>
    <w:rsid w:val="05963A43"/>
    <w:rsid w:val="059A33CC"/>
    <w:rsid w:val="059D3A12"/>
    <w:rsid w:val="05CC762B"/>
    <w:rsid w:val="05D47CDD"/>
    <w:rsid w:val="05E82BC0"/>
    <w:rsid w:val="05F14F57"/>
    <w:rsid w:val="06080E93"/>
    <w:rsid w:val="063876A4"/>
    <w:rsid w:val="064E72DD"/>
    <w:rsid w:val="06750752"/>
    <w:rsid w:val="069074E0"/>
    <w:rsid w:val="06967710"/>
    <w:rsid w:val="06DA7381"/>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165DAE"/>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3660D"/>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CDC29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962FC"/>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1FB69BC"/>
    <w:rsid w:val="12284E12"/>
    <w:rsid w:val="124270FE"/>
    <w:rsid w:val="12893CBB"/>
    <w:rsid w:val="129D10F4"/>
    <w:rsid w:val="129D54E6"/>
    <w:rsid w:val="12B350A7"/>
    <w:rsid w:val="12CE7E72"/>
    <w:rsid w:val="12D52B59"/>
    <w:rsid w:val="12DA3278"/>
    <w:rsid w:val="12F32E8F"/>
    <w:rsid w:val="12F55ACD"/>
    <w:rsid w:val="12F82037"/>
    <w:rsid w:val="12F9462E"/>
    <w:rsid w:val="133A238B"/>
    <w:rsid w:val="133F0831"/>
    <w:rsid w:val="135C24DB"/>
    <w:rsid w:val="136159FC"/>
    <w:rsid w:val="13784F2C"/>
    <w:rsid w:val="13794499"/>
    <w:rsid w:val="13AC64B5"/>
    <w:rsid w:val="13AE7229"/>
    <w:rsid w:val="13AF4D1D"/>
    <w:rsid w:val="13C908A8"/>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31A5B"/>
    <w:rsid w:val="1549049F"/>
    <w:rsid w:val="156A3B48"/>
    <w:rsid w:val="157B58E2"/>
    <w:rsid w:val="157E602C"/>
    <w:rsid w:val="158D3DDA"/>
    <w:rsid w:val="15A85216"/>
    <w:rsid w:val="162D4D4B"/>
    <w:rsid w:val="164A7FFA"/>
    <w:rsid w:val="16505D35"/>
    <w:rsid w:val="16630ED7"/>
    <w:rsid w:val="16D56F37"/>
    <w:rsid w:val="16D71B17"/>
    <w:rsid w:val="17104861"/>
    <w:rsid w:val="17215FAA"/>
    <w:rsid w:val="173A15EF"/>
    <w:rsid w:val="175F0DF2"/>
    <w:rsid w:val="17642340"/>
    <w:rsid w:val="176C3651"/>
    <w:rsid w:val="176C53FF"/>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1155EC"/>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9E4D4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7F6C45"/>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E82BD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2A6275"/>
    <w:rsid w:val="29603CB0"/>
    <w:rsid w:val="296942B8"/>
    <w:rsid w:val="297127D7"/>
    <w:rsid w:val="29DA0389"/>
    <w:rsid w:val="29E86EF7"/>
    <w:rsid w:val="29EF6E33"/>
    <w:rsid w:val="2A0E6DD8"/>
    <w:rsid w:val="2A16304B"/>
    <w:rsid w:val="2A2E62F9"/>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D15535"/>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CD7280"/>
    <w:rsid w:val="32D61E6F"/>
    <w:rsid w:val="330064C0"/>
    <w:rsid w:val="334046F4"/>
    <w:rsid w:val="334C41BA"/>
    <w:rsid w:val="3367687A"/>
    <w:rsid w:val="338246B5"/>
    <w:rsid w:val="33D619C1"/>
    <w:rsid w:val="33ED5C4A"/>
    <w:rsid w:val="33EE4E18"/>
    <w:rsid w:val="34030A42"/>
    <w:rsid w:val="34086D44"/>
    <w:rsid w:val="34184286"/>
    <w:rsid w:val="341E1D1F"/>
    <w:rsid w:val="34310F05"/>
    <w:rsid w:val="344C6F98"/>
    <w:rsid w:val="34955861"/>
    <w:rsid w:val="349618B6"/>
    <w:rsid w:val="350E309D"/>
    <w:rsid w:val="35455245"/>
    <w:rsid w:val="35706308"/>
    <w:rsid w:val="358D4A6A"/>
    <w:rsid w:val="35941E57"/>
    <w:rsid w:val="35A95619"/>
    <w:rsid w:val="35C31B4A"/>
    <w:rsid w:val="3605491C"/>
    <w:rsid w:val="360C1E81"/>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9E1BFA"/>
    <w:rsid w:val="3AA522EF"/>
    <w:rsid w:val="3ABC1597"/>
    <w:rsid w:val="3AED2E1A"/>
    <w:rsid w:val="3AF87E45"/>
    <w:rsid w:val="3B336590"/>
    <w:rsid w:val="3B361C11"/>
    <w:rsid w:val="3B573015"/>
    <w:rsid w:val="3B695784"/>
    <w:rsid w:val="3B6C7BDA"/>
    <w:rsid w:val="3B6F3937"/>
    <w:rsid w:val="3B7375CE"/>
    <w:rsid w:val="3BAE3989"/>
    <w:rsid w:val="3BDD57C4"/>
    <w:rsid w:val="3BE439EB"/>
    <w:rsid w:val="3C190F43"/>
    <w:rsid w:val="3C3E2685"/>
    <w:rsid w:val="3C3E4D0D"/>
    <w:rsid w:val="3C470EF4"/>
    <w:rsid w:val="3C6E615F"/>
    <w:rsid w:val="3C761C06"/>
    <w:rsid w:val="3C9716A0"/>
    <w:rsid w:val="3C9D7347"/>
    <w:rsid w:val="3C9E1C4F"/>
    <w:rsid w:val="3CB34D82"/>
    <w:rsid w:val="3CD674F2"/>
    <w:rsid w:val="3CE959ED"/>
    <w:rsid w:val="3D211F38"/>
    <w:rsid w:val="3DBE5F2D"/>
    <w:rsid w:val="3DD11BB1"/>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C6AD3"/>
    <w:rsid w:val="3FCF5436"/>
    <w:rsid w:val="3FD34C57"/>
    <w:rsid w:val="400E08A9"/>
    <w:rsid w:val="4015583C"/>
    <w:rsid w:val="403B6AA5"/>
    <w:rsid w:val="4052019F"/>
    <w:rsid w:val="407C1607"/>
    <w:rsid w:val="409023E3"/>
    <w:rsid w:val="40A15350"/>
    <w:rsid w:val="40A84710"/>
    <w:rsid w:val="40BD37EF"/>
    <w:rsid w:val="40C21D4C"/>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55441"/>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64094"/>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2A3793"/>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91EBC"/>
    <w:rsid w:val="48EE0572"/>
    <w:rsid w:val="49051B56"/>
    <w:rsid w:val="492142E0"/>
    <w:rsid w:val="492601A2"/>
    <w:rsid w:val="495145C0"/>
    <w:rsid w:val="4952379E"/>
    <w:rsid w:val="4958667A"/>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A17066"/>
    <w:rsid w:val="4BB650F3"/>
    <w:rsid w:val="4BCB0E8D"/>
    <w:rsid w:val="4BD36FFC"/>
    <w:rsid w:val="4BD61B99"/>
    <w:rsid w:val="4C2579E7"/>
    <w:rsid w:val="4C4F4D2E"/>
    <w:rsid w:val="4C5D7514"/>
    <w:rsid w:val="4C6D0622"/>
    <w:rsid w:val="4C6F0F12"/>
    <w:rsid w:val="4CB13611"/>
    <w:rsid w:val="4CC53AD3"/>
    <w:rsid w:val="4CF818CA"/>
    <w:rsid w:val="4CFE5CB2"/>
    <w:rsid w:val="4D167C85"/>
    <w:rsid w:val="4D487B24"/>
    <w:rsid w:val="4D534E02"/>
    <w:rsid w:val="4D782049"/>
    <w:rsid w:val="4D7E1623"/>
    <w:rsid w:val="4DDA02EF"/>
    <w:rsid w:val="4DDA4324"/>
    <w:rsid w:val="4DE87B20"/>
    <w:rsid w:val="4E327733"/>
    <w:rsid w:val="4E3B24BE"/>
    <w:rsid w:val="4E4A0BE3"/>
    <w:rsid w:val="4E5C1022"/>
    <w:rsid w:val="4E7A2D79"/>
    <w:rsid w:val="4E7F1177"/>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1119C8"/>
    <w:rsid w:val="502A375B"/>
    <w:rsid w:val="50734BF1"/>
    <w:rsid w:val="508311FE"/>
    <w:rsid w:val="50852020"/>
    <w:rsid w:val="5097152F"/>
    <w:rsid w:val="50D31DB0"/>
    <w:rsid w:val="50D8235D"/>
    <w:rsid w:val="50DD28EE"/>
    <w:rsid w:val="50F32112"/>
    <w:rsid w:val="51183ACF"/>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DD0E57"/>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B9747E"/>
    <w:rsid w:val="55C4583A"/>
    <w:rsid w:val="55E7750D"/>
    <w:rsid w:val="55E84126"/>
    <w:rsid w:val="55FD5A77"/>
    <w:rsid w:val="55FF3307"/>
    <w:rsid w:val="561B7A5D"/>
    <w:rsid w:val="562E111A"/>
    <w:rsid w:val="56302FC8"/>
    <w:rsid w:val="567B1F2B"/>
    <w:rsid w:val="569943FF"/>
    <w:rsid w:val="56A05B7A"/>
    <w:rsid w:val="56A600BD"/>
    <w:rsid w:val="56FA6917"/>
    <w:rsid w:val="57197E52"/>
    <w:rsid w:val="57230BC1"/>
    <w:rsid w:val="573F1482"/>
    <w:rsid w:val="575F3A7E"/>
    <w:rsid w:val="57834860"/>
    <w:rsid w:val="578F06BB"/>
    <w:rsid w:val="57B06F6F"/>
    <w:rsid w:val="57C00784"/>
    <w:rsid w:val="57C436F5"/>
    <w:rsid w:val="57DF7E8C"/>
    <w:rsid w:val="583077A8"/>
    <w:rsid w:val="583133C6"/>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3F565D"/>
    <w:rsid w:val="5F4D19A3"/>
    <w:rsid w:val="5F8D1FFB"/>
    <w:rsid w:val="5F8F6F96"/>
    <w:rsid w:val="5F974599"/>
    <w:rsid w:val="5FB41BCF"/>
    <w:rsid w:val="5FC32D59"/>
    <w:rsid w:val="5FF243B2"/>
    <w:rsid w:val="600A2868"/>
    <w:rsid w:val="60782D1C"/>
    <w:rsid w:val="60946429"/>
    <w:rsid w:val="60C54BF7"/>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23E5A"/>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497327"/>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964B0D"/>
    <w:rsid w:val="6AAB2CE4"/>
    <w:rsid w:val="6AB21DE8"/>
    <w:rsid w:val="6AB74EE2"/>
    <w:rsid w:val="6ACD70D8"/>
    <w:rsid w:val="6AD45580"/>
    <w:rsid w:val="6AFB5005"/>
    <w:rsid w:val="6B0B260D"/>
    <w:rsid w:val="6B3E0AD2"/>
    <w:rsid w:val="6B706100"/>
    <w:rsid w:val="6B8A77BD"/>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6630F4"/>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B13788"/>
    <w:rsid w:val="72D14FD5"/>
    <w:rsid w:val="731042BF"/>
    <w:rsid w:val="7327218B"/>
    <w:rsid w:val="732B171E"/>
    <w:rsid w:val="73337E12"/>
    <w:rsid w:val="735E6CA6"/>
    <w:rsid w:val="7361405A"/>
    <w:rsid w:val="73631B99"/>
    <w:rsid w:val="73C602C1"/>
    <w:rsid w:val="73D4523C"/>
    <w:rsid w:val="73F24BBB"/>
    <w:rsid w:val="7403623E"/>
    <w:rsid w:val="741915E0"/>
    <w:rsid w:val="74471F7F"/>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623C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9A2A38"/>
    <w:rsid w:val="77A93C36"/>
    <w:rsid w:val="77B46AFF"/>
    <w:rsid w:val="77B576CE"/>
    <w:rsid w:val="77B82657"/>
    <w:rsid w:val="781412B5"/>
    <w:rsid w:val="782669C8"/>
    <w:rsid w:val="78291BE7"/>
    <w:rsid w:val="78644F8D"/>
    <w:rsid w:val="78647041"/>
    <w:rsid w:val="78F37D78"/>
    <w:rsid w:val="7936583D"/>
    <w:rsid w:val="797B2ECF"/>
    <w:rsid w:val="797D7F1B"/>
    <w:rsid w:val="79AB5D1D"/>
    <w:rsid w:val="79C30024"/>
    <w:rsid w:val="79D136E6"/>
    <w:rsid w:val="79DB60A8"/>
    <w:rsid w:val="79E52859"/>
    <w:rsid w:val="79F163C3"/>
    <w:rsid w:val="7A051599"/>
    <w:rsid w:val="7A171493"/>
    <w:rsid w:val="7A242C8F"/>
    <w:rsid w:val="7A8157E9"/>
    <w:rsid w:val="7AAA71C5"/>
    <w:rsid w:val="7ABC52BD"/>
    <w:rsid w:val="7ADF0B6D"/>
    <w:rsid w:val="7AE3633A"/>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1FA4"/>
    <w:rsid w:val="7E5B5796"/>
    <w:rsid w:val="7EAD3C99"/>
    <w:rsid w:val="7EC046D4"/>
    <w:rsid w:val="7ED3560D"/>
    <w:rsid w:val="7ED72268"/>
    <w:rsid w:val="7EDE145C"/>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autoRedefine/>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autoRedefine/>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autoRedefine/>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autoRedefine/>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autoRedefine/>
    <w:qFormat/>
    <w:uiPriority w:val="39"/>
    <w:pPr>
      <w:ind w:left="840"/>
      <w:jc w:val="left"/>
    </w:pPr>
    <w:rPr>
      <w:sz w:val="18"/>
      <w:szCs w:val="18"/>
    </w:rPr>
  </w:style>
  <w:style w:type="paragraph" w:styleId="15">
    <w:name w:val="toc 3"/>
    <w:basedOn w:val="1"/>
    <w:next w:val="1"/>
    <w:autoRedefine/>
    <w:qFormat/>
    <w:uiPriority w:val="39"/>
    <w:pPr>
      <w:jc w:val="left"/>
    </w:pPr>
    <w:rPr>
      <w:iCs/>
      <w:sz w:val="20"/>
      <w:szCs w:val="20"/>
    </w:rPr>
  </w:style>
  <w:style w:type="paragraph" w:styleId="16">
    <w:name w:val="toc 8"/>
    <w:basedOn w:val="1"/>
    <w:next w:val="1"/>
    <w:autoRedefine/>
    <w:qFormat/>
    <w:uiPriority w:val="0"/>
    <w:pPr>
      <w:ind w:left="1470"/>
      <w:jc w:val="left"/>
    </w:pPr>
    <w:rPr>
      <w:sz w:val="18"/>
      <w:szCs w:val="18"/>
    </w:rPr>
  </w:style>
  <w:style w:type="paragraph" w:styleId="17">
    <w:name w:val="Date"/>
    <w:basedOn w:val="1"/>
    <w:next w:val="1"/>
    <w:link w:val="64"/>
    <w:autoRedefine/>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autoRedefine/>
    <w:qFormat/>
    <w:uiPriority w:val="0"/>
    <w:pPr>
      <w:tabs>
        <w:tab w:val="center" w:pos="4153"/>
        <w:tab w:val="right" w:pos="8306"/>
      </w:tabs>
      <w:snapToGrid w:val="0"/>
      <w:jc w:val="left"/>
    </w:pPr>
    <w:rPr>
      <w:sz w:val="18"/>
      <w:szCs w:val="18"/>
    </w:rPr>
  </w:style>
  <w:style w:type="paragraph" w:styleId="20">
    <w:name w:val="header"/>
    <w:basedOn w:val="1"/>
    <w:link w:val="53"/>
    <w:autoRedefine/>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autoRedefine/>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autoRedefine/>
    <w:semiHidden/>
    <w:qFormat/>
    <w:uiPriority w:val="0"/>
    <w:pPr>
      <w:ind w:left="1680"/>
      <w:jc w:val="left"/>
    </w:pPr>
    <w:rPr>
      <w:sz w:val="18"/>
      <w:szCs w:val="18"/>
    </w:rPr>
  </w:style>
  <w:style w:type="paragraph" w:styleId="26">
    <w:name w:val="Normal (Web)"/>
    <w:basedOn w:val="1"/>
    <w:autoRedefine/>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autoRedefine/>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autoRedefine/>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autoRedefine/>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autoRedefine/>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autoRedefine/>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15110</Words>
  <Characters>16341</Characters>
  <Lines>65</Lines>
  <Paragraphs>18</Paragraphs>
  <TotalTime>4265</TotalTime>
  <ScaleCrop>false</ScaleCrop>
  <LinksUpToDate>false</LinksUpToDate>
  <CharactersWithSpaces>16736</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2023-12-29T02:35:47Z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19BFFBFDD3A34910ACA3D3955C144D43_12</vt:lpwstr>
  </property>
</Properties>
</file>