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908055"/>
      <w:bookmarkStart w:id="3" w:name="_Toc17031"/>
      <w:bookmarkStart w:id="4" w:name="_Toc206431052"/>
      <w:bookmarkStart w:id="5" w:name="_Toc4314"/>
      <w:bookmarkStart w:id="6" w:name="_Toc530450921"/>
      <w:bookmarkStart w:id="7" w:name="_Toc325297004"/>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325297005"/>
      <w:bookmarkStart w:id="13" w:name="_Toc206431106"/>
      <w:bookmarkStart w:id="14" w:name="_Toc206431053"/>
      <w:bookmarkStart w:id="15" w:name="_Toc25909"/>
      <w:bookmarkStart w:id="16" w:name="_Toc530908056"/>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057"/>
      <w:bookmarkStart w:id="19" w:name="_Toc530908060"/>
      <w:bookmarkStart w:id="20" w:name="_Toc529080477"/>
      <w:bookmarkStart w:id="21" w:name="_Toc206431110"/>
      <w:bookmarkStart w:id="22" w:name="_Toc528573756"/>
      <w:bookmarkStart w:id="23" w:name="_Toc19177"/>
      <w:bookmarkStart w:id="24" w:name="_Toc528572769"/>
      <w:bookmarkStart w:id="25" w:name="_Toc519330229"/>
      <w:bookmarkStart w:id="26" w:name="_Toc325297007"/>
      <w:bookmarkStart w:id="27" w:name="_Toc17264"/>
      <w:bookmarkStart w:id="28" w:name="_Toc528568461"/>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206431058"/>
      <w:bookmarkStart w:id="31" w:name="_Toc528572773"/>
      <w:bookmarkStart w:id="32" w:name="_Toc529080481"/>
      <w:bookmarkStart w:id="33" w:name="_Toc528573760"/>
      <w:bookmarkStart w:id="34" w:name="_Toc530908061"/>
      <w:bookmarkStart w:id="35" w:name="_Toc519330233"/>
      <w:bookmarkStart w:id="36" w:name="_Toc325297008"/>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8207"/>
      <w:bookmarkStart w:id="42" w:name="_Toc22325"/>
      <w:bookmarkStart w:id="43" w:name="_Toc206431114"/>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206431062"/>
      <w:bookmarkStart w:id="47" w:name="_Toc325297011"/>
      <w:bookmarkStart w:id="48" w:name="_Toc13326"/>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预算项目列表新增功能【授权】，使用权限【超级管理员】，点击弹出【选择授权对象】弹窗，来指定具有该项目权限的对象（人/部门）。</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预算项目授权新增对象【部门】，通过将项目授权给部门，可使整个部门人员共有该预算项目的权限，也就是整个部门都是这个预算项目的负责人。</w:t>
      </w:r>
    </w:p>
    <w:p>
      <w:pPr>
        <w:numPr>
          <w:numId w:val="0"/>
        </w:numPr>
        <w:ind w:leftChars="0" w:firstLine="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如果同时指定了责任人和责任部门，则在列表上【授权对象】字段逗号分隔</w:t>
      </w:r>
      <w:r>
        <w:rPr>
          <w:rFonts w:hint="eastAsia" w:ascii="微软雅黑" w:hAnsi="微软雅黑" w:eastAsia="微软雅黑" w:cs="微软雅黑"/>
          <w:kern w:val="0"/>
          <w:sz w:val="24"/>
          <w:szCs w:val="21"/>
          <w:lang w:val="en-US" w:eastAsia="zh-CN"/>
        </w:rPr>
        <w:tab/>
        <w:t>展示。</w:t>
      </w:r>
    </w:p>
    <w:p>
      <w:pPr>
        <w:numPr>
          <w:numId w:val="0"/>
        </w:numPr>
        <w:ind w:leftChars="0" w:firstLine="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bCs/>
          <w:kern w:val="0"/>
          <w:sz w:val="24"/>
          <w:szCs w:val="21"/>
          <w:lang w:val="en-US" w:eastAsia="zh-CN"/>
        </w:rPr>
        <w:t>页面调整：</w:t>
      </w:r>
      <w:r>
        <w:rPr>
          <w:rFonts w:hint="eastAsia" w:ascii="微软雅黑" w:hAnsi="微软雅黑" w:eastAsia="微软雅黑" w:cs="微软雅黑"/>
          <w:kern w:val="0"/>
          <w:sz w:val="24"/>
          <w:szCs w:val="21"/>
          <w:lang w:val="en-US" w:eastAsia="zh-CN"/>
        </w:rPr>
        <w:t>【预算项目列表】【预算项目详情】中【项目负责人】改为【授</w:t>
      </w:r>
      <w:r>
        <w:rPr>
          <w:rFonts w:hint="eastAsia" w:ascii="微软雅黑" w:hAnsi="微软雅黑" w:eastAsia="微软雅黑" w:cs="微软雅黑"/>
          <w:kern w:val="0"/>
          <w:sz w:val="24"/>
          <w:szCs w:val="21"/>
          <w:lang w:val="en-US" w:eastAsia="zh-CN"/>
        </w:rPr>
        <w:tab/>
        <w:t>权对象】</w:t>
      </w:r>
    </w:p>
    <w:p>
      <w:pPr>
        <w:numPr>
          <w:numId w:val="0"/>
        </w:numPr>
        <w:ind w:leftChars="0" w:firstLine="420" w:firstLineChars="0"/>
        <w:rPr>
          <w:rFonts w:hint="default" w:ascii="微软雅黑" w:hAnsi="微软雅黑" w:eastAsia="微软雅黑" w:cs="微软雅黑"/>
          <w:kern w:val="0"/>
          <w:sz w:val="24"/>
          <w:szCs w:val="21"/>
          <w:lang w:val="en-US" w:eastAsia="zh-CN"/>
        </w:rPr>
      </w:pPr>
      <w:bookmarkStart w:id="119" w:name="_GoBack"/>
      <w:bookmarkEnd w:id="119"/>
      <w:r>
        <w:rPr>
          <w:rFonts w:hint="eastAsia" w:ascii="微软雅黑" w:hAnsi="微软雅黑" w:eastAsia="微软雅黑" w:cs="微软雅黑"/>
          <w:b/>
          <w:bCs/>
          <w:kern w:val="0"/>
          <w:sz w:val="24"/>
          <w:szCs w:val="21"/>
          <w:lang w:val="en-US" w:eastAsia="zh-CN"/>
        </w:rPr>
        <w:t>逻辑调整：</w:t>
      </w:r>
      <w:r>
        <w:rPr>
          <w:rFonts w:hint="eastAsia" w:ascii="微软雅黑" w:hAnsi="微软雅黑" w:eastAsia="微软雅黑" w:cs="微软雅黑"/>
          <w:kern w:val="0"/>
          <w:sz w:val="24"/>
          <w:szCs w:val="21"/>
          <w:lang w:val="en-US" w:eastAsia="zh-CN"/>
        </w:rPr>
        <w:t>项目立项时若授权对象包含部门，则不再附带项目负责人的字段</w:t>
      </w:r>
      <w:r>
        <w:rPr>
          <w:rFonts w:hint="eastAsia" w:ascii="微软雅黑" w:hAnsi="微软雅黑" w:eastAsia="微软雅黑" w:cs="微软雅黑"/>
          <w:kern w:val="0"/>
          <w:sz w:val="24"/>
          <w:szCs w:val="21"/>
          <w:lang w:val="en-US" w:eastAsia="zh-CN"/>
        </w:rPr>
        <w:tab/>
        <w:t>信息。</w:t>
      </w:r>
    </w:p>
    <w:p>
      <w:pPr>
        <w:numPr>
          <w:numId w:val="0"/>
        </w:numPr>
        <w:ind w:leftChars="0" w:firstLine="420" w:firstLineChars="0"/>
        <w:rPr>
          <w:rFonts w:hint="default" w:ascii="微软雅黑" w:hAnsi="微软雅黑" w:eastAsia="微软雅黑" w:cs="微软雅黑"/>
          <w:kern w:val="0"/>
          <w:sz w:val="24"/>
          <w:szCs w:val="21"/>
          <w:lang w:val="en-US" w:eastAsia="zh-CN"/>
        </w:rPr>
      </w:pPr>
      <w:r>
        <w:drawing>
          <wp:inline distT="0" distB="0" distL="114300" distR="114300">
            <wp:extent cx="5276215" cy="3250565"/>
            <wp:effectExtent l="0" t="0" r="698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5276215" cy="3250565"/>
                    </a:xfrm>
                    <a:prstGeom prst="rect">
                      <a:avLst/>
                    </a:prstGeom>
                    <a:noFill/>
                    <a:ln>
                      <a:noFill/>
                    </a:ln>
                  </pic:spPr>
                </pic:pic>
              </a:graphicData>
            </a:graphic>
          </wp:inline>
        </w:drawing>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57525"/>
            <wp:effectExtent l="0" t="0" r="9525" b="952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3"/>
                    <a:stretch>
                      <a:fillRect/>
                    </a:stretch>
                  </pic:blipFill>
                  <pic:spPr>
                    <a:xfrm>
                      <a:off x="0" y="0"/>
                      <a:ext cx="5267325" cy="305752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48000"/>
            <wp:effectExtent l="0" t="0" r="9525" b="0"/>
            <wp:docPr id="2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7"/>
                    <pic:cNvPicPr>
                      <a:picLocks noChangeAspect="1"/>
                    </pic:cNvPicPr>
                  </pic:nvPicPr>
                  <pic:blipFill>
                    <a:blip r:embed="rId44"/>
                    <a:stretch>
                      <a:fillRect/>
                    </a:stretch>
                  </pic:blipFill>
                  <pic:spPr>
                    <a:xfrm>
                      <a:off x="0" y="0"/>
                      <a:ext cx="5267325" cy="3048000"/>
                    </a:xfrm>
                    <a:prstGeom prst="rect">
                      <a:avLst/>
                    </a:prstGeom>
                    <a:noFill/>
                    <a:ln w="9525">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5"/>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5"/>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FBD3E6A"/>
    <w:multiLevelType w:val="singleLevel"/>
    <w:tmpl w:val="3FBD3E6A"/>
    <w:lvl w:ilvl="0" w:tentative="0">
      <w:start w:val="1"/>
      <w:numFmt w:val="decimal"/>
      <w:suff w:val="nothing"/>
      <w:lvlText w:val="（%1）"/>
      <w:lvlJc w:val="left"/>
    </w:lvl>
  </w:abstractNum>
  <w:abstractNum w:abstractNumId="14">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3"/>
  </w:num>
  <w:num w:numId="5">
    <w:abstractNumId w:val="6"/>
  </w:num>
  <w:num w:numId="6">
    <w:abstractNumId w:val="12"/>
  </w:num>
  <w:num w:numId="7">
    <w:abstractNumId w:val="19"/>
  </w:num>
  <w:num w:numId="8">
    <w:abstractNumId w:val="14"/>
  </w:num>
  <w:num w:numId="9">
    <w:abstractNumId w:val="15"/>
  </w:num>
  <w:num w:numId="10">
    <w:abstractNumId w:val="22"/>
  </w:num>
  <w:num w:numId="11">
    <w:abstractNumId w:val="9"/>
  </w:num>
  <w:num w:numId="12">
    <w:abstractNumId w:val="16"/>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1"/>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BD37EF"/>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7D7F1B"/>
    <w:rsid w:val="79AB5D1D"/>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5796"/>
    <w:rsid w:val="7EAD3C99"/>
    <w:rsid w:val="7EC046D4"/>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2023-11-15T07:16:58Z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