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530450921"/>
      <w:bookmarkStart w:id="5" w:name="_Toc530908055"/>
      <w:bookmarkStart w:id="6" w:name="_Toc4314"/>
      <w:bookmarkStart w:id="7" w:name="_Toc1703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206431106"/>
      <w:bookmarkStart w:id="13" w:name="_Toc8204"/>
      <w:bookmarkStart w:id="14" w:name="_Toc325297005"/>
      <w:bookmarkStart w:id="15" w:name="_Toc206431053"/>
      <w:bookmarkStart w:id="16" w:name="_Toc530908056"/>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17264"/>
      <w:bookmarkStart w:id="20" w:name="_Toc528568461"/>
      <w:bookmarkStart w:id="21" w:name="_Toc206431057"/>
      <w:bookmarkStart w:id="22" w:name="_Toc19177"/>
      <w:bookmarkStart w:id="23" w:name="_Toc529080477"/>
      <w:bookmarkStart w:id="24" w:name="_Toc206431110"/>
      <w:bookmarkStart w:id="25" w:name="_Toc325297007"/>
      <w:bookmarkStart w:id="26" w:name="_Toc530908060"/>
      <w:bookmarkStart w:id="27" w:name="_Toc519330229"/>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30908061"/>
      <w:bookmarkStart w:id="30" w:name="_Toc528573760"/>
      <w:bookmarkStart w:id="31" w:name="_Toc528572773"/>
      <w:bookmarkStart w:id="32" w:name="_Toc519330233"/>
      <w:bookmarkStart w:id="33" w:name="_Toc529080481"/>
      <w:bookmarkStart w:id="34" w:name="_Toc206431058"/>
      <w:bookmarkStart w:id="35" w:name="_Toc325297008"/>
      <w:bookmarkStart w:id="36" w:name="_Toc206431111"/>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8207"/>
      <w:bookmarkStart w:id="42" w:name="_Toc22325"/>
      <w:bookmarkStart w:id="43" w:name="_Toc206431114"/>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12938"/>
      <w:bookmarkStart w:id="47" w:name="_Toc325297011"/>
      <w:bookmarkStart w:id="48" w:name="_Toc206431062"/>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w:t>
      </w:r>
    </w:p>
    <w:p>
      <w:pPr>
        <w:numPr>
          <w:ilvl w:val="1"/>
          <w:numId w:val="24"/>
        </w:numPr>
        <w:ind w:left="840" w:leftChars="0" w:hanging="420" w:firstLineChars="0"/>
        <w:rPr>
          <w:rFonts w:hint="default" w:ascii="微软雅黑" w:hAnsi="微软雅黑" w:eastAsia="微软雅黑" w:cs="微软雅黑"/>
          <w:strike/>
          <w:dstrike w:val="0"/>
          <w:kern w:val="0"/>
          <w:sz w:val="24"/>
          <w:szCs w:val="21"/>
          <w:lang w:val="en-US" w:eastAsia="zh-CN"/>
        </w:rPr>
      </w:pPr>
      <w:r>
        <w:rPr>
          <w:rFonts w:hint="eastAsia" w:ascii="微软雅黑" w:hAnsi="微软雅黑" w:eastAsia="微软雅黑" w:cs="微软雅黑"/>
          <w:strike/>
          <w:dstrike w:val="0"/>
          <w:kern w:val="0"/>
          <w:sz w:val="24"/>
          <w:szCs w:val="21"/>
          <w:lang w:val="en-US" w:eastAsia="zh-CN"/>
        </w:rPr>
        <w:t>【数据权限管理】中【可查阅数据范围】改为【数据权限范围】</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w:t>
      </w: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管理员配置，即为BPC的预算部门分配管理者，若用户配置了某部门的数据权限，则该用户为该部门的【预算部门管理员】，具有该部门的所有预算项目的管理权限（查看，授权，委派，立项），该部门的所有立项项目的查看权限。非预算部门管理员只有被授权时，才具有预算项目的【查看】【委派】【立项】权限。</w:t>
      </w:r>
    </w:p>
    <w:p>
      <w:pPr>
        <w:numPr>
          <w:ilvl w:val="0"/>
          <w:numId w:val="0"/>
        </w:numPr>
        <w:ind w:left="420" w:leftChars="0"/>
        <w:rPr>
          <w:rFonts w:hint="eastAsia" w:ascii="微软雅黑" w:hAnsi="微软雅黑" w:eastAsia="微软雅黑" w:cs="微软雅黑"/>
          <w:kern w:val="0"/>
          <w:sz w:val="24"/>
          <w:szCs w:val="21"/>
          <w:lang w:val="en-US" w:eastAsia="zh-CN"/>
        </w:rPr>
      </w:pPr>
    </w:p>
    <w:p>
      <w:pPr>
        <w:numPr>
          <w:ilvl w:val="0"/>
          <w:numId w:val="25"/>
        </w:numPr>
        <w:ind w:left="84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业务规则：</w:t>
      </w:r>
    </w:p>
    <w:p>
      <w:pPr>
        <w:numPr>
          <w:ilvl w:val="1"/>
          <w:numId w:val="25"/>
        </w:numPr>
        <w:ind w:left="126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每年X月X号，BPC主动推送一次BPC的预算部门组织架构，MPM获取并保存，</w:t>
      </w:r>
      <w:r>
        <w:rPr>
          <w:rFonts w:hint="eastAsia" w:ascii="微软雅黑" w:hAnsi="微软雅黑" w:eastAsia="微软雅黑" w:cs="微软雅黑"/>
          <w:b/>
          <w:bCs/>
          <w:kern w:val="0"/>
          <w:sz w:val="24"/>
          <w:szCs w:val="21"/>
          <w:lang w:val="en-US" w:eastAsia="zh-CN"/>
        </w:rPr>
        <w:t>以增量形式，</w:t>
      </w:r>
      <w:r>
        <w:rPr>
          <w:rFonts w:hint="eastAsia" w:ascii="微软雅黑" w:hAnsi="微软雅黑" w:eastAsia="微软雅黑" w:cs="微软雅黑"/>
          <w:b w:val="0"/>
          <w:bCs w:val="0"/>
          <w:kern w:val="0"/>
          <w:sz w:val="24"/>
          <w:szCs w:val="21"/>
          <w:lang w:val="en-US" w:eastAsia="zh-CN"/>
        </w:rPr>
        <w:t>不删除不变更旧的部门数据，只做新增处理。</w:t>
      </w:r>
    </w:p>
    <w:p>
      <w:pPr>
        <w:numPr>
          <w:ilvl w:val="1"/>
          <w:numId w:val="25"/>
        </w:numPr>
        <w:ind w:left="126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MPM可以手动刷新预算部门</w:t>
      </w:r>
    </w:p>
    <w:p>
      <w:pPr>
        <w:numPr>
          <w:ilvl w:val="0"/>
          <w:numId w:val="25"/>
        </w:numPr>
        <w:ind w:left="845" w:leftChars="0" w:hanging="425"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b w:val="0"/>
          <w:bCs w:val="0"/>
          <w:kern w:val="0"/>
          <w:sz w:val="24"/>
          <w:szCs w:val="21"/>
          <w:lang w:val="en-US" w:eastAsia="zh-CN"/>
        </w:rPr>
        <w:t>权限管理-&gt;</w:t>
      </w:r>
      <w:r>
        <w:rPr>
          <w:rFonts w:hint="eastAsia" w:ascii="微软雅黑" w:hAnsi="微软雅黑" w:eastAsia="微软雅黑" w:cs="微软雅黑"/>
          <w:kern w:val="0"/>
          <w:sz w:val="24"/>
          <w:szCs w:val="21"/>
          <w:lang w:val="en-US" w:eastAsia="zh-CN"/>
        </w:rPr>
        <w:t>预算管理员配置</w:t>
      </w:r>
    </w:p>
    <w:p>
      <w:pPr>
        <w:numPr>
          <w:ilvl w:val="0"/>
          <w:numId w:val="0"/>
        </w:numPr>
        <w:ind w:left="420" w:leftChars="0"/>
        <w:rPr>
          <w:rFonts w:hint="default" w:ascii="微软雅黑" w:hAnsi="微软雅黑" w:eastAsia="微软雅黑" w:cs="微软雅黑"/>
          <w:kern w:val="0"/>
          <w:sz w:val="24"/>
          <w:szCs w:val="21"/>
          <w:lang w:val="en-US" w:eastAsia="zh-CN"/>
        </w:rPr>
      </w:pPr>
      <w:r>
        <w:drawing>
          <wp:inline distT="0" distB="0" distL="114300" distR="114300">
            <wp:extent cx="5276215" cy="325056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1"/>
                    <a:stretch>
                      <a:fillRect/>
                    </a:stretch>
                  </pic:blipFill>
                  <pic:spPr>
                    <a:xfrm>
                      <a:off x="0" y="0"/>
                      <a:ext cx="5276215" cy="3250565"/>
                    </a:xfrm>
                    <a:prstGeom prst="rect">
                      <a:avLst/>
                    </a:prstGeom>
                    <a:noFill/>
                    <a:ln>
                      <a:noFill/>
                    </a:ln>
                  </pic:spPr>
                </pic:pic>
              </a:graphicData>
            </a:graphic>
          </wp:inline>
        </w:drawing>
      </w:r>
      <w:bookmarkStart w:id="119" w:name="_GoBack"/>
      <w:bookmarkEnd w:id="119"/>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预算管理员</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搜索框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Sap组织架构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初始时展示组织结构及组织下的成员，搜索结果展示时仅展示员工名称-所在部门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BPC预算部门组织架构</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树形架构</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展示BPC的预算部门结构</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搜索（预算管理员）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rPr>
              <w:t>根据输入的员工名称进行模糊搜索，搜索结果展示时仅展示员工名称-所在部门</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default" w:ascii="微软雅黑" w:hAnsi="微软雅黑" w:eastAsia="微软雅黑" w:cs="微软雅黑"/>
                <w:color w:val="000000"/>
                <w:kern w:val="2"/>
                <w:sz w:val="21"/>
                <w:szCs w:val="21"/>
                <w:lang w:val="en-US"/>
              </w:rPr>
              <w:t>更新BPC组织架构</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点击时，获取BPC最新的组织架构数据，仅作增量处理，有修改或者新增的部门，统一作新增处理，旧部门数据保留</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初始时BPC传递的项目根据【组织】字段，分配给对应的部门【预算部门管理员】，预算部门管理员可以再将项目授权给部门的其他成员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当授权责任人对预算项目进行立项时，将</w:t>
      </w:r>
      <w:r>
        <w:rPr>
          <w:rFonts w:hint="eastAsia" w:ascii="微软雅黑" w:hAnsi="微软雅黑" w:eastAsia="微软雅黑" w:cs="微软雅黑"/>
          <w:b/>
          <w:bCs/>
          <w:kern w:val="0"/>
          <w:sz w:val="24"/>
          <w:szCs w:val="21"/>
          <w:lang w:val="en-US" w:eastAsia="zh-CN"/>
        </w:rPr>
        <w:t>当前立项的授权责任人</w:t>
      </w:r>
      <w:r>
        <w:rPr>
          <w:rFonts w:hint="eastAsia" w:ascii="微软雅黑" w:hAnsi="微软雅黑" w:eastAsia="微软雅黑" w:cs="微软雅黑"/>
          <w:kern w:val="0"/>
          <w:sz w:val="24"/>
          <w:szCs w:val="21"/>
          <w:lang w:val="en-US" w:eastAsia="zh-CN"/>
        </w:rPr>
        <w:t>作为所立项目中【项目的负责人】的值。</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通过预算项目立项时，在立项页面可以修改预算部门，例如预算项目中预算部门为OBG，但立项时修改为APBG，但减少的预算还是预算项目中OBG的预算。</w:t>
      </w:r>
    </w:p>
    <w:p>
      <w:pPr>
        <w:numPr>
          <w:ilvl w:val="0"/>
          <w:numId w:val="0"/>
        </w:numPr>
        <w:ind w:leftChars="0"/>
        <w:rPr>
          <w:rFonts w:hint="default" w:ascii="微软雅黑" w:hAnsi="微软雅黑" w:eastAsia="微软雅黑" w:cs="微软雅黑"/>
          <w:b/>
          <w:bCs/>
          <w:kern w:val="0"/>
          <w:sz w:val="24"/>
          <w:szCs w:val="21"/>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1"/>
          <w:numId w:val="24"/>
        </w:numPr>
        <w:ind w:left="840" w:leftChars="0" w:hanging="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功能入口</w:t>
      </w:r>
    </w:p>
    <w:p>
      <w:pPr>
        <w:numPr>
          <w:ilvl w:val="0"/>
          <w:numId w:val="0"/>
        </w:numPr>
        <w:ind w:firstLine="420" w:firstLineChars="0"/>
        <w:rPr>
          <w:rFonts w:hint="default"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项目管理-&gt;预算项目列表-&gt;预算项目详情-&gt;立项明细</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2"/>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3"/>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4"/>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6"/>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6"/>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7"/>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8B8805E"/>
    <w:multiLevelType w:val="multilevel"/>
    <w:tmpl w:val="38B8805E"/>
    <w:lvl w:ilvl="0" w:tentative="0">
      <w:start w:val="1"/>
      <w:numFmt w:val="decimal"/>
      <w:lvlText w:val="(%1)"/>
      <w:lvlJc w:val="left"/>
      <w:pPr>
        <w:tabs>
          <w:tab w:val="left" w:pos="420"/>
        </w:tabs>
        <w:ind w:left="845" w:hanging="425"/>
      </w:pPr>
      <w:rPr>
        <w:rFonts w:hint="default"/>
      </w:rPr>
    </w:lvl>
    <w:lvl w:ilvl="1" w:tentative="0">
      <w:start w:val="1"/>
      <w:numFmt w:val="decimalEnclosedCircleChinese"/>
      <w:lvlText w:val="%2"/>
      <w:lvlJc w:val="left"/>
      <w:pPr>
        <w:tabs>
          <w:tab w:val="left" w:pos="840"/>
        </w:tabs>
        <w:ind w:left="1260" w:leftChars="0" w:hanging="420" w:firstLineChars="0"/>
      </w:pPr>
      <w:rPr>
        <w:rFonts w:hint="default"/>
      </w:rPr>
    </w:lvl>
    <w:lvl w:ilvl="2" w:tentative="0">
      <w:start w:val="1"/>
      <w:numFmt w:val="decimal"/>
      <w:lvlText w:val="%3)"/>
      <w:lvlJc w:val="left"/>
      <w:pPr>
        <w:tabs>
          <w:tab w:val="left" w:pos="1260"/>
        </w:tabs>
        <w:ind w:left="1680" w:leftChars="0" w:hanging="420" w:firstLineChars="0"/>
      </w:pPr>
      <w:rPr>
        <w:rFonts w:hint="default"/>
      </w:rPr>
    </w:lvl>
    <w:lvl w:ilvl="3" w:tentative="0">
      <w:start w:val="1"/>
      <w:numFmt w:val="lowerLetter"/>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12">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3">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3FBD3E6A"/>
    <w:multiLevelType w:val="singleLevel"/>
    <w:tmpl w:val="3FBD3E6A"/>
    <w:lvl w:ilvl="0" w:tentative="0">
      <w:start w:val="1"/>
      <w:numFmt w:val="decimal"/>
      <w:suff w:val="nothing"/>
      <w:lvlText w:val="（%1）"/>
      <w:lvlJc w:val="left"/>
    </w:lvl>
  </w:abstractNum>
  <w:abstractNum w:abstractNumId="15">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7">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54792BF8"/>
    <w:multiLevelType w:val="singleLevel"/>
    <w:tmpl w:val="54792BF8"/>
    <w:lvl w:ilvl="0" w:tentative="0">
      <w:start w:val="1"/>
      <w:numFmt w:val="decimal"/>
      <w:suff w:val="space"/>
      <w:lvlText w:val="%1."/>
      <w:lvlJc w:val="left"/>
    </w:lvl>
  </w:abstractNum>
  <w:abstractNum w:abstractNumId="21">
    <w:nsid w:val="680875EC"/>
    <w:multiLevelType w:val="singleLevel"/>
    <w:tmpl w:val="680875EC"/>
    <w:lvl w:ilvl="0" w:tentative="0">
      <w:start w:val="1"/>
      <w:numFmt w:val="decimal"/>
      <w:suff w:val="space"/>
      <w:lvlText w:val="%1."/>
      <w:lvlJc w:val="left"/>
    </w:lvl>
  </w:abstractNum>
  <w:abstractNum w:abstractNumId="22">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4">
    <w:nsid w:val="78DB99E9"/>
    <w:multiLevelType w:val="singleLevel"/>
    <w:tmpl w:val="78DB99E9"/>
    <w:lvl w:ilvl="0" w:tentative="0">
      <w:start w:val="1"/>
      <w:numFmt w:val="decimal"/>
      <w:suff w:val="space"/>
      <w:lvlText w:val="%1."/>
      <w:lvlJc w:val="left"/>
    </w:lvl>
  </w:abstractNum>
  <w:abstractNum w:abstractNumId="25">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8"/>
  </w:num>
  <w:num w:numId="3">
    <w:abstractNumId w:val="22"/>
  </w:num>
  <w:num w:numId="4">
    <w:abstractNumId w:val="14"/>
  </w:num>
  <w:num w:numId="5">
    <w:abstractNumId w:val="6"/>
  </w:num>
  <w:num w:numId="6">
    <w:abstractNumId w:val="13"/>
  </w:num>
  <w:num w:numId="7">
    <w:abstractNumId w:val="20"/>
  </w:num>
  <w:num w:numId="8">
    <w:abstractNumId w:val="15"/>
  </w:num>
  <w:num w:numId="9">
    <w:abstractNumId w:val="16"/>
  </w:num>
  <w:num w:numId="10">
    <w:abstractNumId w:val="23"/>
  </w:num>
  <w:num w:numId="11">
    <w:abstractNumId w:val="9"/>
  </w:num>
  <w:num w:numId="12">
    <w:abstractNumId w:val="17"/>
  </w:num>
  <w:num w:numId="13">
    <w:abstractNumId w:val="4"/>
  </w:num>
  <w:num w:numId="14">
    <w:abstractNumId w:val="3"/>
  </w:num>
  <w:num w:numId="15">
    <w:abstractNumId w:val="2"/>
  </w:num>
  <w:num w:numId="16">
    <w:abstractNumId w:val="10"/>
  </w:num>
  <w:num w:numId="17">
    <w:abstractNumId w:val="21"/>
  </w:num>
  <w:num w:numId="18">
    <w:abstractNumId w:val="1"/>
  </w:num>
  <w:num w:numId="19">
    <w:abstractNumId w:val="24"/>
  </w:num>
  <w:num w:numId="20">
    <w:abstractNumId w:val="0"/>
  </w:num>
  <w:num w:numId="21">
    <w:abstractNumId w:val="19"/>
  </w:num>
  <w:num w:numId="22">
    <w:abstractNumId w:val="5"/>
  </w:num>
  <w:num w:numId="23">
    <w:abstractNumId w:val="25"/>
  </w:num>
  <w:num w:numId="24">
    <w:abstractNumId w:val="8"/>
  </w:num>
  <w:num w:numId="25">
    <w:abstractNumId w:val="11"/>
  </w:num>
  <w:num w:numId="26">
    <w:abstractNumId w:val="12"/>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165DAE"/>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CD7280"/>
    <w:rsid w:val="32D61E6F"/>
    <w:rsid w:val="330064C0"/>
    <w:rsid w:val="334046F4"/>
    <w:rsid w:val="334C41BA"/>
    <w:rsid w:val="3367687A"/>
    <w:rsid w:val="338246B5"/>
    <w:rsid w:val="33D619C1"/>
    <w:rsid w:val="33ED5C4A"/>
    <w:rsid w:val="33EE4E18"/>
    <w:rsid w:val="34030A42"/>
    <w:rsid w:val="34086D44"/>
    <w:rsid w:val="34184286"/>
    <w:rsid w:val="341E1D1F"/>
    <w:rsid w:val="34310F05"/>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64094"/>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2601A2"/>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B9747E"/>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AFB5005"/>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12</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2023-11-20T09:49:30Z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