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530908055"/>
      <w:bookmarkStart w:id="5" w:name="_Toc17031"/>
      <w:bookmarkStart w:id="6" w:name="_Toc4314"/>
      <w:bookmarkStart w:id="7" w:name="_Toc53045092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5909"/>
      <w:bookmarkStart w:id="13" w:name="_Toc206431106"/>
      <w:bookmarkStart w:id="14" w:name="_Toc206431053"/>
      <w:bookmarkStart w:id="15" w:name="_Toc530450922"/>
      <w:bookmarkStart w:id="16" w:name="_Toc325297005"/>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206431110"/>
      <w:bookmarkStart w:id="20" w:name="_Toc17264"/>
      <w:bookmarkStart w:id="21" w:name="_Toc19177"/>
      <w:bookmarkStart w:id="22" w:name="_Toc528572769"/>
      <w:bookmarkStart w:id="23" w:name="_Toc528573756"/>
      <w:bookmarkStart w:id="24" w:name="_Toc206431057"/>
      <w:bookmarkStart w:id="25" w:name="_Toc530908060"/>
      <w:bookmarkStart w:id="26" w:name="_Toc519330229"/>
      <w:bookmarkStart w:id="27" w:name="_Toc529080477"/>
      <w:bookmarkStart w:id="28" w:name="_Toc528568461"/>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9080481"/>
      <w:bookmarkStart w:id="30" w:name="_Toc325297008"/>
      <w:bookmarkStart w:id="31" w:name="_Toc528573760"/>
      <w:bookmarkStart w:id="32" w:name="_Toc519330233"/>
      <w:bookmarkStart w:id="33" w:name="_Toc206431111"/>
      <w:bookmarkStart w:id="34" w:name="_Toc528572773"/>
      <w:bookmarkStart w:id="35" w:name="_Toc206431058"/>
      <w:bookmarkStart w:id="36" w:name="_Toc53090806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2325"/>
      <w:bookmarkStart w:id="42" w:name="_Toc206431061"/>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bookmarkStart w:id="119" w:name="_GoBack"/>
      <w:bookmarkEnd w:id="119"/>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界面增加【合同信息上传】模块，在新增时状态为置灰不可填写，在项目审批通过之后，【项目创建者】和【项目负责人】可以补充&amp;编辑合同信息，在确认合同信息后，合同信息不可编辑，并发送项目信息给外部系统。</w:t>
      </w:r>
    </w:p>
    <w:p>
      <w:pPr>
        <w:numPr>
          <w:numId w:val="0"/>
        </w:numPr>
        <w:ind w:left="420" w:leftChars="0"/>
        <w:rPr>
          <w:rFonts w:hint="default" w:ascii="微软雅黑" w:hAnsi="微软雅黑" w:eastAsia="微软雅黑" w:cs="微软雅黑"/>
          <w:kern w:val="0"/>
          <w:sz w:val="24"/>
          <w:szCs w:val="21"/>
          <w:lang w:val="en-US" w:eastAsia="zh-CN"/>
        </w:rPr>
      </w:pPr>
    </w:p>
    <w:p>
      <w:pPr>
        <w:numPr>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新增项目,项目详情（审批中）</w:t>
      </w:r>
    </w:p>
    <w:p>
      <w:pPr>
        <w:numPr>
          <w:numId w:val="0"/>
        </w:numPr>
        <w:ind w:left="420" w:leftChars="0"/>
      </w:pPr>
      <w:r>
        <w:drawing>
          <wp:inline distT="0" distB="0" distL="114300" distR="114300">
            <wp:extent cx="5264150" cy="3042920"/>
            <wp:effectExtent l="0" t="0" r="12700" b="508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5264150" cy="3042920"/>
                    </a:xfrm>
                    <a:prstGeom prst="rect">
                      <a:avLst/>
                    </a:prstGeom>
                    <a:noFill/>
                    <a:ln>
                      <a:noFill/>
                    </a:ln>
                  </pic:spPr>
                </pic:pic>
              </a:graphicData>
            </a:graphic>
          </wp:inline>
        </w:drawing>
      </w:r>
    </w:p>
    <w:p>
      <w:pPr>
        <w:numPr>
          <w:numId w:val="0"/>
        </w:numPr>
        <w:ind w:left="420" w:leftChars="0"/>
      </w:pPr>
      <w:r>
        <w:drawing>
          <wp:inline distT="0" distB="0" distL="114300" distR="114300">
            <wp:extent cx="5263515" cy="3072765"/>
            <wp:effectExtent l="0" t="0" r="13335"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2"/>
                    <a:stretch>
                      <a:fillRect/>
                    </a:stretch>
                  </pic:blipFill>
                  <pic:spPr>
                    <a:xfrm>
                      <a:off x="0" y="0"/>
                      <a:ext cx="5263515" cy="3072765"/>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ind w:firstLine="420" w:firstLineChars="0"/>
      </w:pPr>
    </w:p>
    <w:p>
      <w:pPr>
        <w:numPr>
          <w:ilvl w:val="0"/>
          <w:numId w:val="0"/>
        </w:numPr>
        <w:ind w:left="420" w:left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查看项目信息（已审批通过）</w:t>
      </w:r>
    </w:p>
    <w:p>
      <w:pPr>
        <w:numPr>
          <w:ilvl w:val="0"/>
          <w:numId w:val="0"/>
        </w:numPr>
        <w:ind w:left="420" w:leftChars="0"/>
      </w:pPr>
      <w:r>
        <w:drawing>
          <wp:inline distT="0" distB="0" distL="114300" distR="114300">
            <wp:extent cx="5276215" cy="3068320"/>
            <wp:effectExtent l="0" t="0" r="635" b="177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3"/>
                    <a:stretch>
                      <a:fillRect/>
                    </a:stretch>
                  </pic:blipFill>
                  <pic:spPr>
                    <a:xfrm>
                      <a:off x="0" y="0"/>
                      <a:ext cx="5276215" cy="30683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合同信息置灰，不可编辑</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auto"/>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auto"/>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合同金额</w:t>
            </w:r>
          </w:p>
        </w:tc>
        <w:tc>
          <w:tcPr>
            <w:tcW w:w="1943"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eastAsia="zh-CN"/>
                <w14:textFill>
                  <w14:solidFill>
                    <w14:schemeClr w14:val="tx1"/>
                  </w14:solidFill>
                </w14:textFill>
              </w:rPr>
              <w:t>中标供应商</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合同开始日期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合同截止日期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读取原来保存的数据</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numId w:val="0"/>
              </w:numPr>
              <w:suppressLineNumbers w:val="0"/>
              <w:spacing w:before="0" w:beforeAutospacing="0" w:after="0" w:afterAutospacing="0" w:line="400" w:lineRule="exact"/>
              <w:ind w:leftChars="0" w:right="0" w:right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点击后，</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有未填写字段时，提示“【未填写字段名】未填写”</w:t>
            </w:r>
          </w:p>
          <w:p>
            <w:pPr>
              <w:keepNext w:val="0"/>
              <w:keepLines w:val="0"/>
              <w:numPr>
                <w:ilvl w:val="0"/>
                <w:numId w:val="25"/>
              </w:numPr>
              <w:suppressLineNumbers w:val="0"/>
              <w:spacing w:before="0" w:beforeAutospacing="0" w:after="0" w:afterAutospacing="0" w:line="400" w:lineRule="exact"/>
              <w:ind w:left="420" w:leftChars="0" w:right="0" w:hanging="420" w:firstLineChars="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所有合同信息字段已填写，弹窗提示【是否确认所有合同信息，确认之后合同信息将不可再编辑】，点击【确认】所有合同信息终稿确认并且不可再编辑，隐藏【保存】按钮，触发【</w:t>
            </w:r>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w:t>
            </w:r>
            <w:r>
              <w:rPr>
                <w:rFonts w:ascii="微软雅黑" w:hAnsi="微软雅黑" w:eastAsia="微软雅黑" w:cs="微软雅黑"/>
                <w:color w:val="FF0000"/>
              </w:rPr>
              <w:t>PM</w:t>
            </w:r>
            <w:r>
              <w:rPr>
                <w:rFonts w:hint="eastAsia" w:ascii="微软雅黑" w:hAnsi="微软雅黑" w:eastAsia="微软雅黑" w:cs="微软雅黑"/>
                <w:color w:val="FF0000"/>
              </w:rPr>
              <w:t>对接</w:t>
            </w:r>
            <w:r>
              <w:rPr>
                <w:rFonts w:hint="eastAsia" w:ascii="微软雅黑" w:hAnsi="微软雅黑" w:eastAsia="微软雅黑" w:cs="微软雅黑"/>
                <w:color w:val="FF0000"/>
                <w:lang w:val="en-US" w:eastAsia="zh-CN"/>
              </w:rPr>
              <w:t>通讯SAP</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FF0000"/>
              </w:rPr>
              <w:t>M</w:t>
            </w:r>
            <w:r>
              <w:rPr>
                <w:rFonts w:ascii="微软雅黑" w:hAnsi="微软雅黑" w:eastAsia="微软雅黑" w:cs="微软雅黑"/>
                <w:color w:val="FF0000"/>
              </w:rPr>
              <w:t>PM</w:t>
            </w:r>
            <w:r>
              <w:rPr>
                <w:rFonts w:hint="eastAsia" w:ascii="微软雅黑" w:hAnsi="微软雅黑" w:eastAsia="微软雅黑" w:cs="微软雅黑"/>
                <w:color w:val="FF0000"/>
              </w:rPr>
              <w:t>对接</w:t>
            </w:r>
            <w:r>
              <w:rPr>
                <w:rFonts w:hint="eastAsia" w:ascii="微软雅黑" w:hAnsi="微软雅黑" w:eastAsia="微软雅黑" w:cs="微软雅黑"/>
                <w:color w:val="FF0000"/>
                <w:lang w:val="en-US" w:eastAsia="zh-CN"/>
              </w:rPr>
              <w:t>通讯CRM</w:t>
            </w:r>
            <w:r>
              <w:rPr>
                <w:rFonts w:hint="eastAsia" w:ascii="微软雅黑" w:hAnsi="微软雅黑" w:eastAsia="微软雅黑" w:cs="微软雅黑"/>
                <w:color w:val="FF0000"/>
                <w:lang w:eastAsia="zh-CN"/>
              </w:rPr>
              <w:t>】</w:t>
            </w:r>
            <w:r>
              <w:rPr>
                <w:rFonts w:hint="eastAsia" w:ascii="微软雅黑" w:hAnsi="微软雅黑" w:eastAsia="微软雅黑" w:cs="微软雅黑"/>
                <w:color w:val="000000" w:themeColor="text1"/>
                <w:lang w:val="en-US" w:eastAsia="zh-CN"/>
                <w14:textFill>
                  <w14:solidFill>
                    <w14:schemeClr w14:val="tx1"/>
                  </w14:solidFill>
                </w14:textFill>
              </w:rPr>
              <w:t>所传递的数据。</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br w:type="textWrapping"/>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点击【保存】，则保存已填写的合同信息字段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14:textFill>
                  <w14:solidFill>
                    <w14:schemeClr w14:val="tx1"/>
                  </w14:solidFill>
                </w14:textFill>
              </w:rPr>
            </w:pPr>
            <w:r>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t>合同信息已确认</w:t>
            </w: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，隐藏【保存】按钮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上传合同</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点击【上传合同】，弹出文件选择器上传合同文件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文件格式必须支持：</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PDF,EXCEL,PPT,zip,rar,7z等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点击删除图标，则提示是否删除文件，点击【确认】，则移除相应的合同文件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删除按钮在上传文件名后面</w:t>
            </w:r>
          </w:p>
        </w:tc>
      </w:tr>
    </w:tbl>
    <w:p>
      <w:pPr>
        <w:ind w:firstLine="420" w:firstLineChars="0"/>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EB595F9"/>
    <w:multiLevelType w:val="singleLevel"/>
    <w:tmpl w:val="4EB595F9"/>
    <w:lvl w:ilvl="0" w:tentative="0">
      <w:start w:val="1"/>
      <w:numFmt w:val="bullet"/>
      <w:lvlText w:val=""/>
      <w:lvlJc w:val="left"/>
      <w:pPr>
        <w:ind w:left="420" w:hanging="42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2"/>
  </w:num>
  <w:num w:numId="5">
    <w:abstractNumId w:val="6"/>
  </w:num>
  <w:num w:numId="6">
    <w:abstractNumId w:val="11"/>
  </w:num>
  <w:num w:numId="7">
    <w:abstractNumId w:val="19"/>
  </w:num>
  <w:num w:numId="8">
    <w:abstractNumId w:val="13"/>
  </w:num>
  <w:num w:numId="9">
    <w:abstractNumId w:val="14"/>
  </w:num>
  <w:num w:numId="10">
    <w:abstractNumId w:val="22"/>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16</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2023-11-06T02:49:54Z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