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325297004"/>
      <w:bookmarkStart w:id="4" w:name="_Toc4314"/>
      <w:bookmarkStart w:id="5" w:name="_Toc17031"/>
      <w:bookmarkStart w:id="6" w:name="_Toc530908055"/>
      <w:bookmarkStart w:id="7" w:name="_Toc530450921"/>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206431106"/>
      <w:bookmarkStart w:id="13" w:name="_Toc530908056"/>
      <w:bookmarkStart w:id="14" w:name="_Toc8204"/>
      <w:bookmarkStart w:id="15" w:name="_Toc325297005"/>
      <w:bookmarkStart w:id="16" w:name="_Toc206431053"/>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528573756"/>
      <w:bookmarkStart w:id="20" w:name="_Toc17264"/>
      <w:bookmarkStart w:id="21" w:name="_Toc519330229"/>
      <w:bookmarkStart w:id="22" w:name="_Toc206431110"/>
      <w:bookmarkStart w:id="23" w:name="_Toc530908060"/>
      <w:bookmarkStart w:id="24" w:name="_Toc528572769"/>
      <w:bookmarkStart w:id="25" w:name="_Toc206431057"/>
      <w:bookmarkStart w:id="26" w:name="_Toc19177"/>
      <w:bookmarkStart w:id="27" w:name="_Toc529080477"/>
      <w:bookmarkStart w:id="28" w:name="_Toc32529700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2773"/>
      <w:bookmarkStart w:id="31" w:name="_Toc530908061"/>
      <w:bookmarkStart w:id="32" w:name="_Toc519330233"/>
      <w:bookmarkStart w:id="33" w:name="_Toc528568465"/>
      <w:bookmarkStart w:id="34" w:name="_Toc528573760"/>
      <w:bookmarkStart w:id="35" w:name="_Toc325297008"/>
      <w:bookmarkStart w:id="36" w:name="_Toc529080481"/>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2325"/>
      <w:bookmarkStart w:id="41" w:name="_Toc8207"/>
      <w:bookmarkStart w:id="42" w:name="_Toc325297010"/>
      <w:bookmarkStart w:id="43" w:name="_Toc206431061"/>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13326"/>
      <w:bookmarkStart w:id="48" w:name="_Toc206431062"/>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【数据权限管理】中【可查阅数据范围】改为【数据权限范围】</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数据权限功能优化：</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管理】中【数据权限范围】的配置对象为SAP组织架构中的部门，若用户配置了某部门的数据权限，则该用户为该部门的【部门管理员】，具有该部门的所有预算项目的管理权限（查看，授权，委派，立项），该部门的所有立项项目的查看权限。非部门管理员只有被授权时，才具有预算项目的【查看】【委派】【立项】权限。</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初始时BPC传递的项目根据【组织】字段，分配给对应的部门【部门管理员】，部门管理员可以再将项目授权给部门的其他成员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当授权责任人对预算项目进行立项时，将</w:t>
      </w:r>
      <w:r>
        <w:rPr>
          <w:rFonts w:hint="eastAsia" w:ascii="微软雅黑" w:hAnsi="微软雅黑" w:eastAsia="微软雅黑" w:cs="微软雅黑"/>
          <w:b/>
          <w:bCs/>
          <w:kern w:val="0"/>
          <w:sz w:val="24"/>
          <w:szCs w:val="21"/>
          <w:lang w:val="en-US" w:eastAsia="zh-CN"/>
        </w:rPr>
        <w:t>当前立项的授权责任人</w:t>
      </w:r>
      <w:r>
        <w:rPr>
          <w:rFonts w:hint="eastAsia" w:ascii="微软雅黑" w:hAnsi="微软雅黑" w:eastAsia="微软雅黑" w:cs="微软雅黑"/>
          <w:kern w:val="0"/>
          <w:sz w:val="24"/>
          <w:szCs w:val="21"/>
          <w:lang w:val="en-US" w:eastAsia="zh-CN"/>
        </w:rPr>
        <w:t>作为立项项目的负责人。</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w:t>
      </w:r>
      <w:bookmarkStart w:id="119" w:name="_GoBack"/>
      <w:bookmarkEnd w:id="119"/>
      <w:r>
        <w:rPr>
          <w:rFonts w:hint="eastAsia" w:ascii="微软雅黑" w:hAnsi="微软雅黑" w:eastAsia="微软雅黑" w:cs="微软雅黑"/>
          <w:kern w:val="0"/>
          <w:sz w:val="24"/>
          <w:szCs w:val="21"/>
          <w:lang w:val="en-US" w:eastAsia="zh-CN"/>
        </w:rPr>
        <w:t>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2"/>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3"/>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5"/>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5"/>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FBD3E6A"/>
    <w:multiLevelType w:val="singleLevel"/>
    <w:tmpl w:val="3FBD3E6A"/>
    <w:lvl w:ilvl="0" w:tentative="0">
      <w:start w:val="1"/>
      <w:numFmt w:val="decimal"/>
      <w:suff w:val="nothing"/>
      <w:lvlText w:val="（%1）"/>
      <w:lvlJc w:val="left"/>
    </w:lvl>
  </w:abstractNum>
  <w:abstractNum w:abstractNumId="14">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3"/>
  </w:num>
  <w:num w:numId="5">
    <w:abstractNumId w:val="6"/>
  </w:num>
  <w:num w:numId="6">
    <w:abstractNumId w:val="12"/>
  </w:num>
  <w:num w:numId="7">
    <w:abstractNumId w:val="19"/>
  </w:num>
  <w:num w:numId="8">
    <w:abstractNumId w:val="14"/>
  </w:num>
  <w:num w:numId="9">
    <w:abstractNumId w:val="15"/>
  </w:num>
  <w:num w:numId="10">
    <w:abstractNumId w:val="22"/>
  </w:num>
  <w:num w:numId="11">
    <w:abstractNumId w:val="9"/>
  </w:num>
  <w:num w:numId="12">
    <w:abstractNumId w:val="16"/>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100</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2023-11-17T03:31:19Z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