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44"/>
          <w:szCs w:val="44"/>
        </w:rPr>
      </w:pPr>
      <w:bookmarkStart w:id="0" w:name="_Hlk126568247"/>
      <w:r>
        <w:rPr>
          <w:rFonts w:ascii="黑体" w:hAnsi="黑体" w:eastAsia="黑体"/>
          <w:b/>
          <w:bCs/>
          <w:sz w:val="44"/>
          <w:szCs w:val="44"/>
        </w:rPr>
        <w:t>TCL实业全球官网运营管理规范</w:t>
      </w:r>
    </w:p>
    <w:p>
      <w:pPr>
        <w:rPr>
          <w:rFonts w:ascii="黑体" w:hAnsi="黑体" w:eastAsia="黑体"/>
          <w:sz w:val="28"/>
          <w:szCs w:val="28"/>
        </w:rPr>
      </w:pPr>
    </w:p>
    <w:p>
      <w:pPr>
        <w:rPr>
          <w:rFonts w:ascii="黑体" w:hAnsi="黑体" w:eastAsia="黑体"/>
          <w:sz w:val="28"/>
          <w:szCs w:val="28"/>
        </w:rPr>
      </w:pPr>
      <w:r>
        <w:rPr>
          <w:rFonts w:ascii="黑体" w:hAnsi="黑体" w:eastAsia="黑体"/>
          <w:sz w:val="28"/>
          <w:szCs w:val="28"/>
        </w:rPr>
        <w:t>为规范管理TCL实业全球官网运营，提升用户体验，提高全球官网管理效率，充分发挥全球官网在品牌建设和营销传播方面的积极作用，特此制定此规范管理办法。</w:t>
      </w:r>
    </w:p>
    <w:p>
      <w:pPr>
        <w:rPr>
          <w:rFonts w:ascii="黑体" w:hAnsi="黑体" w:eastAsia="黑体"/>
          <w:sz w:val="28"/>
          <w:szCs w:val="28"/>
        </w:rPr>
      </w:pPr>
    </w:p>
    <w:p>
      <w:pPr>
        <w:rPr>
          <w:rFonts w:ascii="黑体" w:hAnsi="黑体" w:eastAsia="黑体"/>
          <w:b/>
          <w:bCs/>
          <w:sz w:val="32"/>
          <w:szCs w:val="32"/>
        </w:rPr>
      </w:pPr>
      <w:r>
        <w:rPr>
          <w:rFonts w:ascii="黑体" w:hAnsi="黑体" w:eastAsia="黑体"/>
          <w:b/>
          <w:bCs/>
          <w:sz w:val="32"/>
          <w:szCs w:val="32"/>
        </w:rPr>
        <w:t>一、适用对象及场景</w:t>
      </w:r>
    </w:p>
    <w:p>
      <w:pPr>
        <w:rPr>
          <w:rFonts w:ascii="黑体" w:hAnsi="黑体" w:eastAsia="黑体"/>
          <w:sz w:val="28"/>
          <w:szCs w:val="28"/>
        </w:rPr>
      </w:pPr>
      <w:r>
        <w:rPr>
          <w:rFonts w:ascii="黑体" w:hAnsi="黑体" w:eastAsia="黑体"/>
          <w:sz w:val="28"/>
          <w:szCs w:val="28"/>
        </w:rPr>
        <w:t>本管理办法适用于TCL实业下各BG/BU的官方网站管理，包括但不限于tcl.com/iffalcon.com等品牌官网的域名管理、新站点建设、内容发布和内容变更、服务项目建设及变更、网站数据接口管理和权限管理等。各BG/BU的自运营电商网站管理不在此规范管理范畴。</w:t>
      </w:r>
    </w:p>
    <w:p>
      <w:pPr>
        <w:rPr>
          <w:rFonts w:ascii="黑体" w:hAnsi="黑体" w:eastAsia="黑体"/>
          <w:sz w:val="28"/>
          <w:szCs w:val="28"/>
        </w:rPr>
      </w:pPr>
    </w:p>
    <w:p>
      <w:pPr>
        <w:rPr>
          <w:rFonts w:ascii="黑体" w:hAnsi="黑体" w:eastAsia="黑体"/>
          <w:b/>
          <w:bCs/>
          <w:sz w:val="32"/>
          <w:szCs w:val="32"/>
        </w:rPr>
      </w:pPr>
      <w:r>
        <w:rPr>
          <w:rFonts w:ascii="黑体" w:hAnsi="黑体" w:eastAsia="黑体"/>
          <w:b/>
          <w:bCs/>
          <w:sz w:val="32"/>
          <w:szCs w:val="32"/>
        </w:rPr>
        <w:t>二、域名管理</w:t>
      </w:r>
    </w:p>
    <w:p>
      <w:pPr>
        <w:rPr>
          <w:rFonts w:ascii="黑体" w:hAnsi="黑体" w:eastAsia="黑体"/>
          <w:b/>
          <w:bCs/>
          <w:sz w:val="28"/>
          <w:szCs w:val="28"/>
        </w:rPr>
      </w:pPr>
      <w:r>
        <w:rPr>
          <w:rFonts w:ascii="黑体" w:hAnsi="黑体" w:eastAsia="黑体"/>
          <w:b/>
          <w:bCs/>
          <w:sz w:val="28"/>
          <w:szCs w:val="28"/>
        </w:rPr>
        <w:t>2.1 域名新增</w:t>
      </w:r>
    </w:p>
    <w:p>
      <w:pPr>
        <w:rPr>
          <w:rFonts w:ascii="黑体" w:hAnsi="黑体" w:eastAsia="黑体"/>
          <w:sz w:val="28"/>
          <w:szCs w:val="28"/>
        </w:rPr>
      </w:pPr>
      <w:r>
        <w:rPr>
          <w:rFonts w:ascii="黑体" w:hAnsi="黑体" w:eastAsia="黑体"/>
          <w:sz w:val="28"/>
          <w:szCs w:val="28"/>
        </w:rPr>
        <w:t>TCL实业各BG/BU市场部门根据业务需求，如需申请集团子域名xxx.tcl.com (例如：appliance.tcl.com)，需在全球市场中心负责统筹和建设维护的项目管理平台提交申请进行审批、备案（图1）。如未开通项目管理平台权限，可发送需求至各BG/BU市场部的区域BP或直接提交申请表至全球市场中心全球官网运营部代为申请。</w:t>
      </w:r>
    </w:p>
    <w:p>
      <w:pPr>
        <w:rPr>
          <w:rFonts w:ascii="黑体" w:hAnsi="黑体" w:eastAsia="黑体"/>
          <w:sz w:val="28"/>
          <w:szCs w:val="28"/>
        </w:rPr>
      </w:pPr>
    </w:p>
    <w:p>
      <w:pPr>
        <w:rPr>
          <w:rFonts w:ascii="黑体" w:hAnsi="黑体" w:eastAsia="黑体"/>
          <w:sz w:val="28"/>
          <w:szCs w:val="28"/>
        </w:rPr>
      </w:pPr>
      <w:r>
        <w:rPr>
          <w:rFonts w:ascii="黑体" w:hAnsi="黑体" w:eastAsia="黑体"/>
          <w:sz w:val="28"/>
          <w:szCs w:val="28"/>
        </w:rPr>
        <w:t>在项目管理平台正式上线前，可通过填写《官网需求申请表》（附则1）提交至各BG/BU市场部的区域BP或通过邮件形式直接提交申请表至全球市场中心全球官网运营部代为申请。</w:t>
      </w:r>
    </w:p>
    <w:p>
      <w:pPr>
        <w:rPr>
          <w:rFonts w:ascii="黑体" w:hAnsi="黑体" w:eastAsia="黑体"/>
          <w:sz w:val="28"/>
          <w:szCs w:val="28"/>
        </w:rPr>
      </w:pPr>
    </w:p>
    <w:p>
      <w:pPr>
        <w:rPr>
          <w:rFonts w:ascii="黑体" w:hAnsi="黑体" w:eastAsia="黑体"/>
          <w:sz w:val="28"/>
          <w:szCs w:val="28"/>
        </w:rPr>
      </w:pPr>
      <w:r>
        <w:rPr>
          <w:rFonts w:ascii="黑体" w:hAnsi="黑体" w:eastAsia="黑体"/>
          <w:sz w:val="28"/>
          <w:szCs w:val="28"/>
        </w:rPr>
        <w:t>若需申请xxx.com(例如：lehua.com)新域名等一级域名注册，则需由需求申请人进行自主申请。</w:t>
      </w:r>
    </w:p>
    <w:p>
      <w:pPr>
        <w:rPr>
          <w:rFonts w:ascii="黑体" w:hAnsi="黑体" w:eastAsia="黑体"/>
          <w:sz w:val="28"/>
          <w:szCs w:val="28"/>
        </w:rPr>
      </w:pPr>
    </w:p>
    <w:p>
      <w:pPr>
        <w:rPr>
          <w:rFonts w:ascii="黑体" w:hAnsi="黑体" w:eastAsia="黑体"/>
          <w:b/>
          <w:bCs/>
          <w:sz w:val="28"/>
          <w:szCs w:val="28"/>
        </w:rPr>
      </w:pPr>
      <w:r>
        <w:rPr>
          <w:rFonts w:ascii="黑体" w:hAnsi="黑体" w:eastAsia="黑体"/>
          <w:b/>
          <w:bCs/>
          <w:sz w:val="28"/>
          <w:szCs w:val="28"/>
        </w:rPr>
        <w:t>2.2 域名变更</w:t>
      </w:r>
    </w:p>
    <w:p>
      <w:pPr>
        <w:rPr>
          <w:rFonts w:ascii="黑体" w:hAnsi="黑体" w:eastAsia="黑体"/>
          <w:sz w:val="28"/>
          <w:szCs w:val="28"/>
        </w:rPr>
      </w:pPr>
      <w:r>
        <w:rPr>
          <w:rFonts w:ascii="黑体" w:hAnsi="黑体" w:eastAsia="黑体"/>
          <w:sz w:val="28"/>
          <w:szCs w:val="28"/>
        </w:rPr>
        <w:t>TCL实业各BG/BU市场部门根据业务需求，需要进行域名变更 （例如从tclusa.com/变更到tcl.com/us/en），需同2.1操作提交申请至项目管理平台进行审批、备案。</w:t>
      </w:r>
    </w:p>
    <w:p>
      <w:pPr>
        <w:jc w:val="center"/>
        <w:rPr>
          <w:rFonts w:ascii="黑体" w:hAnsi="黑体" w:eastAsia="黑体"/>
          <w:sz w:val="28"/>
          <w:szCs w:val="28"/>
        </w:rPr>
      </w:pPr>
      <w:r>
        <w:rPr>
          <w:rFonts w:ascii="黑体" w:hAnsi="黑体" w:eastAsia="黑体"/>
          <w:sz w:val="28"/>
          <w:szCs w:val="28"/>
        </w:rPr>
        <w:drawing>
          <wp:inline distT="0" distB="0" distL="0" distR="0">
            <wp:extent cx="1930400" cy="37807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40232" cy="3800098"/>
                    </a:xfrm>
                    <a:prstGeom prst="rect">
                      <a:avLst/>
                    </a:prstGeom>
                  </pic:spPr>
                </pic:pic>
              </a:graphicData>
            </a:graphic>
          </wp:inline>
        </w:drawing>
      </w:r>
    </w:p>
    <w:p>
      <w:pPr>
        <w:rPr>
          <w:rFonts w:ascii="黑体" w:hAnsi="黑体" w:eastAsia="黑体"/>
          <w:sz w:val="28"/>
          <w:szCs w:val="28"/>
        </w:rPr>
      </w:pPr>
    </w:p>
    <w:p>
      <w:pPr>
        <w:jc w:val="center"/>
        <w:rPr>
          <w:rFonts w:ascii="黑体" w:hAnsi="黑体" w:eastAsia="黑体"/>
          <w:sz w:val="21"/>
          <w:szCs w:val="21"/>
        </w:rPr>
      </w:pPr>
      <w:r>
        <w:rPr>
          <w:rFonts w:ascii="黑体" w:hAnsi="黑体" w:eastAsia="黑体"/>
          <w:sz w:val="21"/>
          <w:szCs w:val="21"/>
        </w:rPr>
        <w:t>图1.项目管理平台域名审批备案流程</w:t>
      </w:r>
    </w:p>
    <w:p>
      <w:pPr>
        <w:jc w:val="center"/>
        <w:rPr>
          <w:rFonts w:ascii="黑体" w:hAnsi="黑体" w:eastAsia="黑体"/>
          <w:sz w:val="18"/>
          <w:szCs w:val="18"/>
        </w:rPr>
      </w:pPr>
      <w:r>
        <w:rPr>
          <w:rFonts w:ascii="黑体" w:hAnsi="黑体" w:eastAsia="黑体"/>
          <w:sz w:val="18"/>
          <w:szCs w:val="18"/>
        </w:rPr>
        <w:t>*系统审批流程会根据需求等级分级S/A/B/C对应不同审批流程节点</w:t>
      </w:r>
    </w:p>
    <w:p>
      <w:pPr>
        <w:rPr>
          <w:rFonts w:hint="eastAsia" w:ascii="黑体" w:hAnsi="黑体" w:eastAsia="黑体"/>
          <w:sz w:val="28"/>
          <w:szCs w:val="28"/>
        </w:rPr>
      </w:pPr>
    </w:p>
    <w:p>
      <w:pPr>
        <w:rPr>
          <w:rFonts w:ascii="黑体" w:hAnsi="黑体" w:eastAsia="黑体"/>
          <w:b/>
          <w:bCs/>
          <w:sz w:val="32"/>
          <w:szCs w:val="32"/>
        </w:rPr>
      </w:pPr>
      <w:r>
        <w:rPr>
          <w:rFonts w:ascii="黑体" w:hAnsi="黑体" w:eastAsia="黑体"/>
          <w:b/>
          <w:bCs/>
          <w:sz w:val="32"/>
          <w:szCs w:val="32"/>
        </w:rPr>
        <w:t>三、站点管理</w:t>
      </w:r>
    </w:p>
    <w:p>
      <w:pPr>
        <w:rPr>
          <w:rFonts w:ascii="黑体" w:hAnsi="黑体" w:eastAsia="黑体"/>
          <w:b/>
          <w:bCs/>
          <w:sz w:val="28"/>
          <w:szCs w:val="28"/>
        </w:rPr>
      </w:pPr>
      <w:r>
        <w:rPr>
          <w:rFonts w:ascii="黑体" w:hAnsi="黑体" w:eastAsia="黑体"/>
          <w:b/>
          <w:bCs/>
          <w:sz w:val="28"/>
          <w:szCs w:val="28"/>
        </w:rPr>
        <w:t>3.1 站点新增</w:t>
      </w:r>
    </w:p>
    <w:p>
      <w:pPr>
        <w:rPr>
          <w:rFonts w:ascii="黑体" w:hAnsi="黑体" w:eastAsia="黑体"/>
          <w:sz w:val="28"/>
          <w:szCs w:val="28"/>
        </w:rPr>
      </w:pPr>
      <w:r>
        <w:rPr>
          <w:rFonts w:ascii="黑体" w:hAnsi="黑体" w:eastAsia="黑体"/>
          <w:sz w:val="28"/>
          <w:szCs w:val="28"/>
        </w:rPr>
        <w:t>TCL实业各BG市场部门根据业务需求，需要新增TCL品牌、子品牌的区域或者国家站点，需评估是否可以利用现有区域或国家官网站点进行营销宣传，避免重复开设站点，造成运营人力和资源浪费。</w:t>
      </w:r>
    </w:p>
    <w:p>
      <w:pPr>
        <w:rPr>
          <w:rFonts w:ascii="黑体" w:hAnsi="黑体" w:eastAsia="黑体"/>
          <w:sz w:val="28"/>
          <w:szCs w:val="28"/>
        </w:rPr>
      </w:pPr>
    </w:p>
    <w:p>
      <w:pPr>
        <w:rPr>
          <w:rFonts w:ascii="黑体" w:hAnsi="黑体" w:eastAsia="黑体"/>
          <w:sz w:val="28"/>
          <w:szCs w:val="28"/>
        </w:rPr>
      </w:pPr>
      <w:r>
        <w:rPr>
          <w:rFonts w:ascii="黑体" w:hAnsi="黑体" w:eastAsia="黑体"/>
          <w:sz w:val="28"/>
          <w:szCs w:val="28"/>
        </w:rPr>
        <w:t>如需新增新站点，需符合站点新增标准，遵守站点新增规范和要求，市场部门需提交申请流程至项目管理平台进行审批、备案。（图2）</w:t>
      </w:r>
    </w:p>
    <w:p>
      <w:pPr>
        <w:rPr>
          <w:rFonts w:ascii="黑体" w:hAnsi="黑体" w:eastAsia="黑体"/>
          <w:sz w:val="28"/>
          <w:szCs w:val="28"/>
        </w:rPr>
      </w:pPr>
    </w:p>
    <w:p>
      <w:pPr>
        <w:rPr>
          <w:rFonts w:ascii="黑体" w:hAnsi="黑体" w:eastAsia="黑体"/>
          <w:sz w:val="28"/>
          <w:szCs w:val="28"/>
        </w:rPr>
      </w:pPr>
      <w:r>
        <w:rPr>
          <w:rFonts w:ascii="黑体" w:hAnsi="黑体" w:eastAsia="黑体"/>
          <w:sz w:val="28"/>
          <w:szCs w:val="28"/>
        </w:rPr>
        <w:t>站点新增标准：</w:t>
      </w:r>
    </w:p>
    <w:p>
      <w:pPr>
        <w:rPr>
          <w:rFonts w:ascii="黑体" w:hAnsi="黑体" w:eastAsia="黑体"/>
          <w:sz w:val="28"/>
          <w:szCs w:val="28"/>
        </w:rPr>
      </w:pPr>
      <w:r>
        <w:rPr>
          <w:rFonts w:ascii="黑体" w:hAnsi="黑体" w:eastAsia="黑体"/>
          <w:sz w:val="28"/>
          <w:szCs w:val="28"/>
        </w:rPr>
        <w:t>1. 满足一定的业务量要求，业务量根据实际区域规模设定。</w:t>
      </w:r>
    </w:p>
    <w:p>
      <w:pPr>
        <w:rPr>
          <w:rFonts w:ascii="黑体" w:hAnsi="黑体" w:eastAsia="黑体"/>
          <w:sz w:val="28"/>
          <w:szCs w:val="28"/>
        </w:rPr>
      </w:pPr>
      <w:r>
        <w:rPr>
          <w:rFonts w:ascii="黑体" w:hAnsi="黑体" w:eastAsia="黑体"/>
          <w:sz w:val="28"/>
          <w:szCs w:val="28"/>
        </w:rPr>
        <w:t>2.</w:t>
      </w:r>
      <w:r>
        <w:rPr>
          <w:rFonts w:ascii="Calibri" w:hAnsi="Calibri" w:eastAsia="黑体" w:cs="Calibri"/>
          <w:sz w:val="28"/>
          <w:szCs w:val="28"/>
        </w:rPr>
        <w:t> </w:t>
      </w:r>
      <w:r>
        <w:rPr>
          <w:rFonts w:ascii="黑体" w:hAnsi="黑体" w:eastAsia="黑体"/>
          <w:sz w:val="28"/>
          <w:szCs w:val="28"/>
        </w:rPr>
        <w:t>业务配套支持（专人对接市场人员/持续且完整的新品上市方案/提供售后服务）</w:t>
      </w:r>
    </w:p>
    <w:p>
      <w:pPr>
        <w:jc w:val="center"/>
        <w:rPr>
          <w:rFonts w:ascii="黑体" w:hAnsi="黑体" w:eastAsia="黑体"/>
          <w:sz w:val="28"/>
          <w:szCs w:val="28"/>
        </w:rPr>
      </w:pPr>
      <w:r>
        <w:rPr>
          <w:rFonts w:ascii="黑体" w:hAnsi="黑体" w:eastAsia="黑体"/>
          <w:sz w:val="28"/>
          <w:szCs w:val="28"/>
        </w:rPr>
        <w:drawing>
          <wp:inline distT="0" distB="0" distL="0" distR="0">
            <wp:extent cx="1967865"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73698" cy="3865646"/>
                    </a:xfrm>
                    <a:prstGeom prst="rect">
                      <a:avLst/>
                    </a:prstGeom>
                  </pic:spPr>
                </pic:pic>
              </a:graphicData>
            </a:graphic>
          </wp:inline>
        </w:drawing>
      </w:r>
    </w:p>
    <w:p>
      <w:pPr>
        <w:jc w:val="center"/>
        <w:rPr>
          <w:rFonts w:ascii="黑体" w:hAnsi="黑体" w:eastAsia="黑体"/>
          <w:sz w:val="21"/>
          <w:szCs w:val="21"/>
        </w:rPr>
      </w:pPr>
      <w:r>
        <w:rPr>
          <w:rFonts w:ascii="黑体" w:hAnsi="黑体" w:eastAsia="黑体"/>
          <w:sz w:val="21"/>
          <w:szCs w:val="21"/>
        </w:rPr>
        <w:t>图2.项目管理平台站点审批备案流程</w:t>
      </w:r>
    </w:p>
    <w:p>
      <w:pPr>
        <w:jc w:val="center"/>
        <w:rPr>
          <w:rFonts w:ascii="黑体" w:hAnsi="黑体" w:eastAsia="黑体"/>
          <w:sz w:val="18"/>
          <w:szCs w:val="18"/>
        </w:rPr>
      </w:pPr>
      <w:r>
        <w:rPr>
          <w:rFonts w:ascii="黑体" w:hAnsi="黑体" w:eastAsia="黑体"/>
          <w:sz w:val="18"/>
          <w:szCs w:val="18"/>
        </w:rPr>
        <w:t>*系统审批流程会根据需求等级分级S/A/B/C对应不同审批流程节点</w:t>
      </w:r>
    </w:p>
    <w:p>
      <w:pPr>
        <w:rPr>
          <w:rFonts w:hint="eastAsia" w:ascii="黑体" w:hAnsi="黑体" w:eastAsia="黑体"/>
          <w:sz w:val="28"/>
          <w:szCs w:val="28"/>
        </w:rPr>
      </w:pPr>
    </w:p>
    <w:p>
      <w:pPr>
        <w:rPr>
          <w:rFonts w:ascii="黑体" w:hAnsi="黑体" w:eastAsia="黑体"/>
          <w:sz w:val="28"/>
          <w:szCs w:val="28"/>
        </w:rPr>
      </w:pPr>
      <w:r>
        <w:rPr>
          <w:rFonts w:ascii="黑体" w:hAnsi="黑体" w:eastAsia="黑体"/>
          <w:sz w:val="28"/>
          <w:szCs w:val="28"/>
        </w:rPr>
        <w:t>因站点新增涉及维护成本增加，在提交申请审批备案前需和全球市场中心全球官网运营部确认费用分摊原则，同时审核上线前必备物料清单。</w:t>
      </w:r>
    </w:p>
    <w:p>
      <w:pPr>
        <w:rPr>
          <w:rFonts w:ascii="黑体" w:hAnsi="黑体" w:eastAsia="黑体"/>
          <w:sz w:val="28"/>
          <w:szCs w:val="28"/>
        </w:rPr>
      </w:pPr>
    </w:p>
    <w:p>
      <w:pPr>
        <w:rPr>
          <w:rFonts w:ascii="黑体" w:hAnsi="黑体" w:eastAsia="黑体"/>
          <w:b/>
          <w:bCs/>
          <w:sz w:val="28"/>
          <w:szCs w:val="28"/>
        </w:rPr>
      </w:pPr>
      <w:r>
        <w:rPr>
          <w:rFonts w:ascii="黑体" w:hAnsi="黑体" w:eastAsia="黑体"/>
          <w:b/>
          <w:bCs/>
          <w:sz w:val="28"/>
          <w:szCs w:val="28"/>
        </w:rPr>
        <w:t>3.2.站点关闭</w:t>
      </w:r>
    </w:p>
    <w:p>
      <w:pPr>
        <w:rPr>
          <w:rFonts w:ascii="黑体" w:hAnsi="黑体" w:eastAsia="黑体"/>
          <w:sz w:val="28"/>
          <w:szCs w:val="28"/>
        </w:rPr>
      </w:pPr>
      <w:r>
        <w:rPr>
          <w:rFonts w:ascii="黑体" w:hAnsi="黑体" w:eastAsia="黑体"/>
          <w:sz w:val="28"/>
          <w:szCs w:val="28"/>
        </w:rPr>
        <w:t>TCL实业各BG市场部根据业务需求，需要关闭TCL品牌、子品牌的区域或者国家站点，需同3.1操作提交申请进行审批、备案。</w:t>
      </w:r>
    </w:p>
    <w:p>
      <w:pPr>
        <w:rPr>
          <w:rFonts w:ascii="黑体" w:hAnsi="黑体" w:eastAsia="黑体"/>
          <w:sz w:val="28"/>
          <w:szCs w:val="28"/>
        </w:rPr>
      </w:pPr>
    </w:p>
    <w:p>
      <w:pPr>
        <w:rPr>
          <w:rFonts w:ascii="黑体" w:hAnsi="黑体" w:eastAsia="黑体"/>
          <w:b/>
          <w:bCs/>
          <w:sz w:val="28"/>
          <w:szCs w:val="28"/>
        </w:rPr>
      </w:pPr>
      <w:r>
        <w:rPr>
          <w:rFonts w:ascii="黑体" w:hAnsi="黑体" w:eastAsia="黑体"/>
          <w:b/>
          <w:bCs/>
          <w:sz w:val="28"/>
          <w:szCs w:val="28"/>
        </w:rPr>
        <w:t>3.3.站点合并</w:t>
      </w:r>
    </w:p>
    <w:p>
      <w:pPr>
        <w:rPr>
          <w:rFonts w:ascii="黑体" w:hAnsi="黑体" w:eastAsia="黑体"/>
          <w:sz w:val="28"/>
          <w:szCs w:val="28"/>
        </w:rPr>
      </w:pPr>
      <w:r>
        <w:rPr>
          <w:rFonts w:ascii="黑体" w:hAnsi="黑体" w:eastAsia="黑体"/>
          <w:sz w:val="28"/>
          <w:szCs w:val="28"/>
        </w:rPr>
        <w:t>当年度PV 小于10W且当年度范围内没有新增产品和营销活动时，全球市场中心全球官网运营部会通知各BG市场部或区域经理进行站点合并确认，同意合并提案后，全球市场中心全球官网运营部会和各BG市场部、区域经理确认站点合并后所涉及的运营维护费用分摊。</w:t>
      </w:r>
    </w:p>
    <w:p>
      <w:pPr>
        <w:rPr>
          <w:rFonts w:ascii="黑体" w:hAnsi="黑体" w:eastAsia="黑体"/>
          <w:sz w:val="28"/>
          <w:szCs w:val="28"/>
        </w:rPr>
      </w:pPr>
    </w:p>
    <w:p>
      <w:pPr>
        <w:rPr>
          <w:rFonts w:ascii="黑体" w:hAnsi="黑体" w:eastAsia="黑体"/>
          <w:b/>
          <w:bCs/>
          <w:sz w:val="32"/>
          <w:szCs w:val="32"/>
        </w:rPr>
      </w:pPr>
      <w:r>
        <w:rPr>
          <w:rFonts w:ascii="黑体" w:hAnsi="黑体" w:eastAsia="黑体"/>
          <w:b/>
          <w:bCs/>
          <w:sz w:val="32"/>
          <w:szCs w:val="32"/>
        </w:rPr>
        <w:t>四、内容管理</w:t>
      </w:r>
    </w:p>
    <w:p>
      <w:pPr>
        <w:rPr>
          <w:rFonts w:ascii="黑体" w:hAnsi="黑体" w:eastAsia="黑体"/>
          <w:b/>
          <w:bCs/>
          <w:sz w:val="28"/>
          <w:szCs w:val="28"/>
        </w:rPr>
      </w:pPr>
      <w:r>
        <w:rPr>
          <w:rFonts w:ascii="黑体" w:hAnsi="黑体" w:eastAsia="黑体"/>
          <w:b/>
          <w:bCs/>
          <w:sz w:val="28"/>
          <w:szCs w:val="28"/>
        </w:rPr>
        <w:t>4.1 网站框架调整</w:t>
      </w:r>
    </w:p>
    <w:p>
      <w:pPr>
        <w:rPr>
          <w:rFonts w:ascii="黑体" w:hAnsi="黑体" w:eastAsia="黑体"/>
          <w:sz w:val="28"/>
          <w:szCs w:val="28"/>
        </w:rPr>
      </w:pPr>
      <w:r>
        <w:rPr>
          <w:rFonts w:ascii="黑体" w:hAnsi="黑体" w:eastAsia="黑体"/>
          <w:sz w:val="28"/>
          <w:szCs w:val="28"/>
        </w:rPr>
        <w:t>TCL实业各BG/BU市场部门根据业务需求，需要变更网站框架包含但不限于首页布局、导航栏布局、H5维护等，需提交申请到项目管理平台说明调整变更原因进行审批、备案。</w:t>
      </w:r>
    </w:p>
    <w:p>
      <w:pPr>
        <w:rPr>
          <w:rFonts w:ascii="黑体" w:hAnsi="黑体" w:eastAsia="黑体"/>
          <w:sz w:val="28"/>
          <w:szCs w:val="28"/>
        </w:rPr>
      </w:pPr>
    </w:p>
    <w:p>
      <w:pPr>
        <w:rPr>
          <w:rFonts w:ascii="黑体" w:hAnsi="黑体" w:eastAsia="黑体"/>
          <w:sz w:val="28"/>
          <w:szCs w:val="28"/>
        </w:rPr>
      </w:pPr>
      <w:r>
        <w:rPr>
          <w:rFonts w:ascii="黑体" w:hAnsi="黑体" w:eastAsia="黑体"/>
          <w:sz w:val="28"/>
          <w:szCs w:val="28"/>
        </w:rPr>
        <w:t>为确保品牌官网整体调性一致，前端用户体验正常，官网后端统一使用网站开发团队开发和监控的组件进行页面维护，如因个性化需求需改用H5进行页面维护，需通过项目管理平台向全球市场中心全球官网运营部提交审批和备案，说明H5使用原因，同时根据官网H5使用规范提供完整H5代码，通过官网开发团队的UAT测试后进行部署上线。</w:t>
      </w:r>
    </w:p>
    <w:p>
      <w:pPr>
        <w:rPr>
          <w:rFonts w:ascii="黑体" w:hAnsi="黑体" w:eastAsia="黑体"/>
          <w:sz w:val="28"/>
          <w:szCs w:val="28"/>
        </w:rPr>
      </w:pPr>
    </w:p>
    <w:p>
      <w:pPr>
        <w:rPr>
          <w:rFonts w:ascii="黑体" w:hAnsi="黑体" w:eastAsia="黑体"/>
          <w:b/>
          <w:bCs/>
          <w:sz w:val="28"/>
          <w:szCs w:val="28"/>
        </w:rPr>
      </w:pPr>
      <w:r>
        <w:rPr>
          <w:rFonts w:ascii="黑体" w:hAnsi="黑体" w:eastAsia="黑体"/>
          <w:b/>
          <w:bCs/>
          <w:sz w:val="28"/>
          <w:szCs w:val="28"/>
        </w:rPr>
        <w:t>4.2 品类或产品新增</w:t>
      </w:r>
    </w:p>
    <w:p>
      <w:pPr>
        <w:rPr>
          <w:rFonts w:ascii="黑体" w:hAnsi="黑体" w:eastAsia="黑体"/>
          <w:sz w:val="28"/>
          <w:szCs w:val="28"/>
        </w:rPr>
      </w:pPr>
      <w:bookmarkStart w:id="1" w:name="_GoBack"/>
      <w:r>
        <w:rPr>
          <w:rFonts w:ascii="黑体" w:hAnsi="黑体" w:eastAsia="黑体"/>
          <w:sz w:val="28"/>
          <w:szCs w:val="28"/>
        </w:rPr>
        <w:t>TCL实业各BG/BU产品推广部门或区域BP根据业务需求，需要新增产品品类，需由产品推广经理或区域BP拉通GTM和区域确认上线计划，全球市场中心全球官网运营部在收到正式邮件通知后，会进行部署新增品类入口。新产品页面策划，需提供页面内容包含文案和产品素材。全球市场中心全球官网运营部在收到新品素材后，会根据页面策划流程进行排期，同步官网上线时间。</w:t>
      </w:r>
    </w:p>
    <w:bookmarkEnd w:id="1"/>
    <w:p>
      <w:pPr>
        <w:rPr>
          <w:rFonts w:ascii="黑体" w:hAnsi="黑体" w:eastAsia="黑体"/>
          <w:sz w:val="28"/>
          <w:szCs w:val="28"/>
        </w:rPr>
      </w:pPr>
    </w:p>
    <w:p>
      <w:pPr>
        <w:rPr>
          <w:rFonts w:ascii="黑体" w:hAnsi="黑体" w:eastAsia="黑体"/>
          <w:b/>
          <w:bCs/>
          <w:sz w:val="28"/>
          <w:szCs w:val="28"/>
        </w:rPr>
      </w:pPr>
      <w:r>
        <w:rPr>
          <w:rFonts w:ascii="黑体" w:hAnsi="黑体" w:eastAsia="黑体"/>
          <w:b/>
          <w:bCs/>
          <w:sz w:val="28"/>
          <w:szCs w:val="28"/>
        </w:rPr>
        <w:t>4.3 专题</w:t>
      </w:r>
    </w:p>
    <w:p>
      <w:pPr>
        <w:rPr>
          <w:rFonts w:ascii="黑体" w:hAnsi="黑体" w:eastAsia="黑体"/>
          <w:sz w:val="28"/>
          <w:szCs w:val="28"/>
        </w:rPr>
      </w:pPr>
      <w:r>
        <w:rPr>
          <w:rFonts w:ascii="黑体" w:hAnsi="黑体" w:eastAsia="黑体"/>
          <w:sz w:val="28"/>
          <w:szCs w:val="28"/>
        </w:rPr>
        <w:t>TCL实业各BG/BU品牌管理或产品推广部门根据业务需求，需要新增活动宣传、IP展示、产品或技术展示等专题页面时，需提供页面内容包含文案和素材，明确页面上线推广链接和发布时间，并对其提供的文案和素材负责。全球市场中心全球官网运营部在收到需求后，会根据页面策划流程进行排期，同步官网上线时间。</w:t>
      </w:r>
    </w:p>
    <w:p>
      <w:pPr>
        <w:rPr>
          <w:rFonts w:ascii="黑体" w:hAnsi="黑体" w:eastAsia="黑体"/>
          <w:sz w:val="28"/>
          <w:szCs w:val="28"/>
        </w:rPr>
      </w:pPr>
      <w:r>
        <w:rPr>
          <w:rFonts w:ascii="黑体" w:hAnsi="黑体" w:eastAsia="黑体"/>
          <w:sz w:val="28"/>
          <w:szCs w:val="28"/>
        </w:rPr>
        <w:t>其中IP、奖项背书等品牌管理相关信息需和品牌中心进行书面确认，明确IP、奖项背书使用时间，使用权限到期后需给出下线或者替换反馈意见，避免因IP、背书到期造成的侵权违规情况。</w:t>
      </w:r>
    </w:p>
    <w:p>
      <w:pPr>
        <w:rPr>
          <w:rFonts w:ascii="黑体" w:hAnsi="黑体" w:eastAsia="黑体"/>
          <w:sz w:val="28"/>
          <w:szCs w:val="28"/>
        </w:rPr>
      </w:pPr>
    </w:p>
    <w:p>
      <w:pPr>
        <w:rPr>
          <w:rFonts w:ascii="黑体" w:hAnsi="黑体" w:eastAsia="黑体"/>
          <w:b/>
          <w:bCs/>
          <w:sz w:val="28"/>
          <w:szCs w:val="28"/>
        </w:rPr>
      </w:pPr>
      <w:r>
        <w:rPr>
          <w:rFonts w:ascii="黑体" w:hAnsi="黑体" w:eastAsia="黑体"/>
          <w:b/>
          <w:bCs/>
          <w:sz w:val="28"/>
          <w:szCs w:val="28"/>
        </w:rPr>
        <w:t xml:space="preserve">4.4 新闻 </w:t>
      </w:r>
    </w:p>
    <w:p>
      <w:pPr>
        <w:rPr>
          <w:rFonts w:ascii="黑体" w:hAnsi="黑体" w:eastAsia="黑体"/>
          <w:sz w:val="28"/>
          <w:szCs w:val="28"/>
        </w:rPr>
      </w:pPr>
      <w:r>
        <w:rPr>
          <w:rFonts w:ascii="黑体" w:hAnsi="黑体" w:eastAsia="黑体"/>
          <w:sz w:val="28"/>
          <w:szCs w:val="28"/>
        </w:rPr>
        <w:t>TCL实业各BG/BU公关传播部门根据业务需求，需要新增新闻板块信息传播页面，需提供页面内容包含文案和素材，明确页面上线链接和发布时间，并对其提供的新闻内容负责。全球市场中心全球官网运营部在收到部署上线需求后，会根据需求上线时间发布页面。</w:t>
      </w:r>
    </w:p>
    <w:p>
      <w:pPr>
        <w:rPr>
          <w:rFonts w:ascii="黑体" w:hAnsi="黑体" w:eastAsia="黑体"/>
          <w:sz w:val="28"/>
          <w:szCs w:val="28"/>
        </w:rPr>
      </w:pPr>
    </w:p>
    <w:p>
      <w:pPr>
        <w:rPr>
          <w:rFonts w:ascii="黑体" w:hAnsi="黑体" w:eastAsia="黑体"/>
          <w:b/>
          <w:bCs/>
          <w:sz w:val="28"/>
          <w:szCs w:val="28"/>
        </w:rPr>
      </w:pPr>
      <w:r>
        <w:rPr>
          <w:rFonts w:ascii="黑体" w:hAnsi="黑体" w:eastAsia="黑体"/>
          <w:b/>
          <w:bCs/>
          <w:sz w:val="28"/>
          <w:szCs w:val="28"/>
        </w:rPr>
        <w:t>4.5 招聘信息</w:t>
      </w:r>
    </w:p>
    <w:p>
      <w:pPr>
        <w:rPr>
          <w:rFonts w:ascii="黑体" w:hAnsi="黑体" w:eastAsia="黑体"/>
          <w:sz w:val="28"/>
          <w:szCs w:val="28"/>
        </w:rPr>
      </w:pPr>
      <w:r>
        <w:rPr>
          <w:rFonts w:ascii="黑体" w:hAnsi="黑体" w:eastAsia="黑体"/>
          <w:sz w:val="28"/>
          <w:szCs w:val="28"/>
        </w:rPr>
        <w:t>TCL实业各BG/BU总部或区域人事管理部门根据业务需求，需要新增招聘职位等展示信息时，需提供招聘岗位职位描述等重要信息给到全球市场中心全球官网运营部，全球市场中心全球官网运营部在收到需求后，会和招聘栏目维护团队对接，进行信息更新。</w:t>
      </w:r>
    </w:p>
    <w:p>
      <w:pPr>
        <w:rPr>
          <w:rFonts w:ascii="黑体" w:hAnsi="黑体" w:eastAsia="黑体"/>
          <w:sz w:val="28"/>
          <w:szCs w:val="28"/>
        </w:rPr>
      </w:pPr>
    </w:p>
    <w:p>
      <w:pPr>
        <w:rPr>
          <w:rFonts w:ascii="黑体" w:hAnsi="黑体" w:eastAsia="黑体"/>
          <w:b/>
          <w:bCs/>
          <w:sz w:val="28"/>
          <w:szCs w:val="28"/>
        </w:rPr>
      </w:pPr>
      <w:r>
        <w:rPr>
          <w:rFonts w:ascii="黑体" w:hAnsi="黑体" w:eastAsia="黑体"/>
          <w:b/>
          <w:bCs/>
          <w:sz w:val="28"/>
          <w:szCs w:val="28"/>
        </w:rPr>
        <w:t>4.6 售后</w:t>
      </w:r>
    </w:p>
    <w:p>
      <w:pPr>
        <w:rPr>
          <w:rFonts w:ascii="黑体" w:hAnsi="黑体" w:eastAsia="黑体"/>
          <w:sz w:val="28"/>
          <w:szCs w:val="28"/>
        </w:rPr>
      </w:pPr>
      <w:r>
        <w:rPr>
          <w:rFonts w:ascii="黑体" w:hAnsi="黑体" w:eastAsia="黑体"/>
          <w:sz w:val="28"/>
          <w:szCs w:val="28"/>
        </w:rPr>
        <w:t>TCL品牌、子品牌官网售后维护板块，包含但不限于产品UM/ QG/PSI 文档维护、软件升级、FAQ信息，还包含服务热线、售后联系表单、售后服务网点等信息，由各BG/BU产品售后团队在网站进行单独维护，当TCL实业各BG/BU产品部门有新增或者变更站点产品售后板块需求时，需通过各BG/BU区域BP提交需求给区域服务经理。售后板块跟随当地市场产品售卖情况做维护。</w:t>
      </w:r>
    </w:p>
    <w:p>
      <w:pPr>
        <w:rPr>
          <w:rFonts w:ascii="黑体" w:hAnsi="黑体" w:eastAsia="黑体"/>
          <w:sz w:val="28"/>
          <w:szCs w:val="28"/>
        </w:rPr>
      </w:pPr>
    </w:p>
    <w:p>
      <w:pPr>
        <w:rPr>
          <w:rFonts w:ascii="黑体" w:hAnsi="黑体" w:eastAsia="黑体"/>
          <w:b/>
          <w:bCs/>
          <w:sz w:val="32"/>
          <w:szCs w:val="32"/>
        </w:rPr>
      </w:pPr>
      <w:r>
        <w:rPr>
          <w:rFonts w:ascii="黑体" w:hAnsi="黑体" w:eastAsia="黑体"/>
          <w:b/>
          <w:bCs/>
          <w:sz w:val="32"/>
          <w:szCs w:val="32"/>
        </w:rPr>
        <w:t>五、接口管理</w:t>
      </w:r>
    </w:p>
    <w:p>
      <w:pPr>
        <w:rPr>
          <w:rFonts w:ascii="黑体" w:hAnsi="黑体" w:eastAsia="黑体"/>
          <w:b/>
          <w:bCs/>
          <w:sz w:val="28"/>
          <w:szCs w:val="28"/>
        </w:rPr>
      </w:pPr>
      <w:r>
        <w:rPr>
          <w:rFonts w:ascii="黑体" w:hAnsi="黑体" w:eastAsia="黑体"/>
          <w:b/>
          <w:bCs/>
          <w:sz w:val="28"/>
          <w:szCs w:val="28"/>
        </w:rPr>
        <w:t>5.1 联系表单</w:t>
      </w:r>
    </w:p>
    <w:p>
      <w:pPr>
        <w:rPr>
          <w:rFonts w:ascii="黑体" w:hAnsi="黑体" w:eastAsia="黑体"/>
          <w:sz w:val="28"/>
          <w:szCs w:val="28"/>
        </w:rPr>
      </w:pPr>
      <w:r>
        <w:rPr>
          <w:rFonts w:ascii="黑体" w:hAnsi="黑体" w:eastAsia="黑体"/>
          <w:sz w:val="28"/>
          <w:szCs w:val="28"/>
        </w:rPr>
        <w:t>TCL实业各BG/BU市场部门根据业务需求，需要增加用户留资或联系表单，需提交需求至全球市场中心全球官网运营部，且提供在前端页面需用户填写的信息（字段）、接口回传地址（邮箱或系统）等信息，官网组和开发团队在评估工作量及排期后，会同步上线时间，各BG/BU项目负责人需在功能开发后配合进行调取接口回传测试。</w:t>
      </w:r>
    </w:p>
    <w:p>
      <w:pPr>
        <w:rPr>
          <w:rFonts w:ascii="黑体" w:hAnsi="黑体" w:eastAsia="黑体"/>
          <w:sz w:val="28"/>
          <w:szCs w:val="28"/>
        </w:rPr>
      </w:pPr>
      <w:r>
        <w:rPr>
          <w:rFonts w:ascii="黑体" w:hAnsi="黑体" w:eastAsia="黑体"/>
          <w:sz w:val="28"/>
          <w:szCs w:val="28"/>
        </w:rPr>
        <w:t>如涉及费用新增，需提前和全球市场中心全球官网运营部进行费用分摊确认。</w:t>
      </w:r>
    </w:p>
    <w:p>
      <w:pPr>
        <w:rPr>
          <w:rFonts w:ascii="黑体" w:hAnsi="黑体" w:eastAsia="黑体"/>
          <w:sz w:val="28"/>
          <w:szCs w:val="28"/>
        </w:rPr>
      </w:pPr>
    </w:p>
    <w:p>
      <w:pPr>
        <w:rPr>
          <w:rFonts w:ascii="黑体" w:hAnsi="黑体" w:eastAsia="黑体"/>
          <w:b/>
          <w:bCs/>
          <w:sz w:val="28"/>
          <w:szCs w:val="28"/>
        </w:rPr>
      </w:pPr>
      <w:r>
        <w:rPr>
          <w:rFonts w:ascii="黑体" w:hAnsi="黑体" w:eastAsia="黑体"/>
          <w:b/>
          <w:bCs/>
          <w:sz w:val="28"/>
          <w:szCs w:val="28"/>
        </w:rPr>
        <w:t>5.2 反馈表单</w:t>
      </w:r>
    </w:p>
    <w:p>
      <w:pPr>
        <w:rPr>
          <w:rFonts w:ascii="黑体" w:hAnsi="黑体" w:eastAsia="黑体"/>
          <w:sz w:val="28"/>
          <w:szCs w:val="28"/>
        </w:rPr>
      </w:pPr>
      <w:r>
        <w:rPr>
          <w:rFonts w:ascii="黑体" w:hAnsi="黑体" w:eastAsia="黑体"/>
          <w:sz w:val="28"/>
          <w:szCs w:val="28"/>
        </w:rPr>
        <w:t>TCL实业各BG/BU市场调研部门根据业务需求，需要增加用户信息反馈表单，需求方需拉通法务部门进行合规审核确认，待通过法务部门审核后，提交需求到全球市场中心全球官网运营部，提供在前端页面需用户填写的信息（字段）、接口回传地址（邮箱或系统）等信息，官网组和开发团队在评估工作量及排期后，会同步上线时间，各BG/BU市场调研部门需在功能开发后配合进行调取接口回传测试。</w:t>
      </w:r>
    </w:p>
    <w:p>
      <w:pPr>
        <w:rPr>
          <w:rFonts w:ascii="黑体" w:hAnsi="黑体" w:eastAsia="黑体"/>
          <w:sz w:val="28"/>
          <w:szCs w:val="28"/>
        </w:rPr>
      </w:pPr>
      <w:r>
        <w:rPr>
          <w:rFonts w:ascii="黑体" w:hAnsi="黑体" w:eastAsia="黑体"/>
          <w:sz w:val="28"/>
          <w:szCs w:val="28"/>
        </w:rPr>
        <w:t>如涉及费用新增，需提前和全球市场中心全球官网运营部进行费用分摊确认。</w:t>
      </w:r>
    </w:p>
    <w:p>
      <w:pPr>
        <w:rPr>
          <w:rFonts w:ascii="黑体" w:hAnsi="黑体" w:eastAsia="黑体"/>
          <w:sz w:val="28"/>
          <w:szCs w:val="28"/>
        </w:rPr>
      </w:pPr>
    </w:p>
    <w:p>
      <w:pPr>
        <w:rPr>
          <w:rFonts w:ascii="黑体" w:hAnsi="黑体" w:eastAsia="黑体"/>
          <w:b/>
          <w:bCs/>
          <w:sz w:val="28"/>
          <w:szCs w:val="28"/>
        </w:rPr>
      </w:pPr>
      <w:r>
        <w:rPr>
          <w:rFonts w:ascii="黑体" w:hAnsi="黑体" w:eastAsia="黑体"/>
          <w:b/>
          <w:bCs/>
          <w:sz w:val="28"/>
          <w:szCs w:val="28"/>
        </w:rPr>
        <w:t>5.3 电商平台</w:t>
      </w:r>
    </w:p>
    <w:p>
      <w:pPr>
        <w:rPr>
          <w:rFonts w:ascii="黑体" w:hAnsi="黑体" w:eastAsia="黑体"/>
          <w:sz w:val="28"/>
          <w:szCs w:val="28"/>
        </w:rPr>
      </w:pPr>
      <w:r>
        <w:rPr>
          <w:rFonts w:ascii="黑体" w:hAnsi="黑体" w:eastAsia="黑体"/>
          <w:sz w:val="28"/>
          <w:szCs w:val="28"/>
        </w:rPr>
        <w:t>TCL实业各BG/BU的电商/区域销售部门根据业务需求，需要在官网接入电商平台接口，包含且不限于自营电商，第三方平台电商等直接销售或支持销售类等服务平台，需提交需求至全球市场中心全球官网运营部，提供对应平台相关信息，官网组和开发团队在评估工作量及排期后，会同步上线时间，各BG/BU电商/销售部门需在功能开发后配合进行调取接口回传测试。</w:t>
      </w:r>
    </w:p>
    <w:p>
      <w:pPr>
        <w:rPr>
          <w:rFonts w:ascii="黑体" w:hAnsi="黑体" w:eastAsia="黑体"/>
          <w:sz w:val="28"/>
          <w:szCs w:val="28"/>
        </w:rPr>
      </w:pPr>
      <w:r>
        <w:rPr>
          <w:rFonts w:ascii="黑体" w:hAnsi="黑体" w:eastAsia="黑体"/>
          <w:sz w:val="28"/>
          <w:szCs w:val="28"/>
        </w:rPr>
        <w:t>如涉及费用新增，需提前和全球市场中心全球官网运营部进行费用分摊确认。</w:t>
      </w:r>
    </w:p>
    <w:p>
      <w:pPr>
        <w:rPr>
          <w:rFonts w:ascii="黑体" w:hAnsi="黑体" w:eastAsia="黑体"/>
          <w:sz w:val="28"/>
          <w:szCs w:val="28"/>
        </w:rPr>
      </w:pPr>
      <w:r>
        <w:rPr>
          <w:rFonts w:ascii="黑体" w:hAnsi="黑体" w:eastAsia="黑体"/>
          <w:sz w:val="28"/>
          <w:szCs w:val="28"/>
        </w:rPr>
        <w:t>其中新增产品页面的销售电商平台链接（手动添加维护）不适用于以上情况，不需要进行接口适配，各BG/BU电商/销售部门需定期跟踪所提供电商链接的有效性，如遇产品下架等情况，为提供用户良好的官网体验，各BG/BU电商/销售部门需及时反馈官网组进行下架处理。</w:t>
      </w:r>
    </w:p>
    <w:p>
      <w:pPr>
        <w:rPr>
          <w:rFonts w:ascii="黑体" w:hAnsi="黑体" w:eastAsia="黑体"/>
          <w:sz w:val="28"/>
          <w:szCs w:val="28"/>
        </w:rPr>
      </w:pPr>
    </w:p>
    <w:p>
      <w:pPr>
        <w:rPr>
          <w:rFonts w:ascii="黑体" w:hAnsi="黑体" w:eastAsia="黑体"/>
          <w:b/>
          <w:bCs/>
          <w:sz w:val="28"/>
          <w:szCs w:val="28"/>
        </w:rPr>
      </w:pPr>
      <w:r>
        <w:rPr>
          <w:rFonts w:ascii="黑体" w:hAnsi="黑体" w:eastAsia="黑体"/>
          <w:b/>
          <w:bCs/>
          <w:sz w:val="28"/>
          <w:szCs w:val="28"/>
        </w:rPr>
        <w:t>5.4 其他接口管理</w:t>
      </w:r>
    </w:p>
    <w:p>
      <w:pPr>
        <w:rPr>
          <w:rFonts w:ascii="黑体" w:hAnsi="黑体" w:eastAsia="黑体"/>
          <w:sz w:val="28"/>
          <w:szCs w:val="28"/>
        </w:rPr>
      </w:pPr>
      <w:r>
        <w:rPr>
          <w:rFonts w:ascii="黑体" w:hAnsi="黑体" w:eastAsia="黑体"/>
          <w:sz w:val="28"/>
          <w:szCs w:val="28"/>
        </w:rPr>
        <w:t>TCL实业各BG/BU如需在官网接入除以上接口类型外的共享&amp;传输数据/权限开通/表单开发等接口需求，需提交需求明细至全球市场中心全球官网运营部，若该需求涉及第三方外部平台，需协助提供第三方对应平台相关信息，官网组和开发团队在评估工作量及排期后，会同步上线时间，各BG/BU项目负责人需在功能开发后配合进行调取接口回传测试。</w:t>
      </w:r>
    </w:p>
    <w:p>
      <w:pPr>
        <w:rPr>
          <w:rFonts w:ascii="黑体" w:hAnsi="黑体" w:eastAsia="黑体"/>
          <w:sz w:val="28"/>
          <w:szCs w:val="28"/>
        </w:rPr>
      </w:pPr>
      <w:r>
        <w:rPr>
          <w:rFonts w:ascii="黑体" w:hAnsi="黑体" w:eastAsia="黑体"/>
          <w:sz w:val="28"/>
          <w:szCs w:val="28"/>
        </w:rPr>
        <w:t>如涉及费用新增，需提前和全球市场中心全球官网运营部进行费用分摊确认。</w:t>
      </w:r>
    </w:p>
    <w:p>
      <w:pPr>
        <w:rPr>
          <w:rFonts w:ascii="黑体" w:hAnsi="黑体" w:eastAsia="黑体"/>
          <w:sz w:val="28"/>
          <w:szCs w:val="28"/>
        </w:rPr>
      </w:pPr>
    </w:p>
    <w:p>
      <w:pPr>
        <w:rPr>
          <w:rFonts w:ascii="黑体" w:hAnsi="黑体" w:eastAsia="黑体"/>
          <w:b/>
          <w:bCs/>
          <w:sz w:val="32"/>
          <w:szCs w:val="32"/>
        </w:rPr>
      </w:pPr>
      <w:r>
        <w:rPr>
          <w:rFonts w:ascii="黑体" w:hAnsi="黑体" w:eastAsia="黑体"/>
          <w:b/>
          <w:bCs/>
          <w:sz w:val="32"/>
          <w:szCs w:val="32"/>
        </w:rPr>
        <w:t>六、权限管理</w:t>
      </w:r>
    </w:p>
    <w:p>
      <w:pPr>
        <w:rPr>
          <w:rFonts w:ascii="黑体" w:hAnsi="黑体" w:eastAsia="黑体"/>
          <w:b/>
          <w:bCs/>
          <w:sz w:val="28"/>
          <w:szCs w:val="28"/>
        </w:rPr>
      </w:pPr>
      <w:r>
        <w:rPr>
          <w:rFonts w:ascii="黑体" w:hAnsi="黑体" w:eastAsia="黑体"/>
          <w:b/>
          <w:bCs/>
          <w:sz w:val="28"/>
          <w:szCs w:val="28"/>
        </w:rPr>
        <w:t>6.1 自运营权限</w:t>
      </w:r>
    </w:p>
    <w:p>
      <w:pPr>
        <w:rPr>
          <w:rFonts w:ascii="黑体" w:hAnsi="黑体" w:eastAsia="黑体"/>
          <w:sz w:val="28"/>
          <w:szCs w:val="28"/>
        </w:rPr>
      </w:pPr>
      <w:r>
        <w:rPr>
          <w:rFonts w:ascii="黑体" w:hAnsi="黑体" w:eastAsia="黑体"/>
          <w:sz w:val="28"/>
          <w:szCs w:val="28"/>
        </w:rPr>
        <w:t>TCL全球官网归属于TCL实业，TCL全球官网管理权限归属于TCL实业全球市场中心全球官网运营部，如因运营的独立化需要，全球市场中心全球官网运营部将授权给到国家进行自主运营，自主运营期间需满足全球官网运营标准，符合官网运营规范。如需申请运营权限，需提交申请至项目管理平台进行审核、备案。</w:t>
      </w:r>
    </w:p>
    <w:p>
      <w:pPr>
        <w:rPr>
          <w:rFonts w:ascii="黑体" w:hAnsi="黑体" w:eastAsia="黑体"/>
          <w:sz w:val="28"/>
          <w:szCs w:val="28"/>
        </w:rPr>
      </w:pPr>
    </w:p>
    <w:p>
      <w:pPr>
        <w:rPr>
          <w:rFonts w:ascii="黑体" w:hAnsi="黑体" w:eastAsia="黑体"/>
          <w:sz w:val="28"/>
          <w:szCs w:val="28"/>
        </w:rPr>
      </w:pPr>
      <w:r>
        <w:rPr>
          <w:rFonts w:ascii="黑体" w:hAnsi="黑体" w:eastAsia="黑体"/>
          <w:sz w:val="28"/>
          <w:szCs w:val="28"/>
        </w:rPr>
        <w:t>官网运营人员维护账号应通过公司邮箱注册、开通，并严格控制账号密码知悉范围，运营人员账号密码三个月自动更新。如出现账号管理人员变化，应及时修改通知全球市场中心官网运营团队进行账号和密码修改，移除运营权限和变更运营人。</w:t>
      </w:r>
    </w:p>
    <w:p>
      <w:pPr>
        <w:rPr>
          <w:rFonts w:ascii="黑体" w:hAnsi="黑体" w:eastAsia="黑体"/>
          <w:sz w:val="28"/>
          <w:szCs w:val="28"/>
        </w:rPr>
      </w:pPr>
    </w:p>
    <w:p>
      <w:pPr>
        <w:rPr>
          <w:rFonts w:ascii="黑体" w:hAnsi="黑体" w:eastAsia="黑体"/>
          <w:sz w:val="28"/>
          <w:szCs w:val="28"/>
        </w:rPr>
      </w:pPr>
      <w:r>
        <w:rPr>
          <w:rFonts w:ascii="黑体" w:hAnsi="黑体" w:eastAsia="黑体"/>
          <w:sz w:val="28"/>
          <w:szCs w:val="28"/>
        </w:rPr>
        <w:t>官网运营人员需要对运营的站点负责，确认更新的网页内容符合当地法律法规，涉及重大的公共事件和活动页面上线，需提前通知全球市场中心全球官网运营部和当地法务人员进行审核确认。</w:t>
      </w:r>
    </w:p>
    <w:p>
      <w:pPr>
        <w:rPr>
          <w:rFonts w:ascii="黑体" w:hAnsi="黑体" w:eastAsia="黑体"/>
          <w:sz w:val="28"/>
          <w:szCs w:val="28"/>
        </w:rPr>
      </w:pPr>
    </w:p>
    <w:p>
      <w:pPr>
        <w:rPr>
          <w:rFonts w:ascii="黑体" w:hAnsi="黑体" w:eastAsia="黑体"/>
          <w:sz w:val="28"/>
          <w:szCs w:val="28"/>
        </w:rPr>
      </w:pPr>
      <w:r>
        <w:rPr>
          <w:rFonts w:ascii="黑体" w:hAnsi="黑体" w:eastAsia="黑体"/>
          <w:sz w:val="28"/>
          <w:szCs w:val="28"/>
        </w:rPr>
        <w:t xml:space="preserve"> </w:t>
      </w:r>
    </w:p>
    <w:p>
      <w:pPr>
        <w:rPr>
          <w:rFonts w:ascii="黑体" w:hAnsi="黑体" w:eastAsia="黑体"/>
          <w:b/>
          <w:bCs/>
          <w:sz w:val="32"/>
          <w:szCs w:val="32"/>
        </w:rPr>
      </w:pPr>
      <w:r>
        <w:rPr>
          <w:rFonts w:ascii="黑体" w:hAnsi="黑体" w:eastAsia="黑体"/>
          <w:b/>
          <w:bCs/>
          <w:sz w:val="32"/>
          <w:szCs w:val="32"/>
        </w:rPr>
        <w:t>七、附则</w:t>
      </w:r>
    </w:p>
    <w:p>
      <w:pPr>
        <w:rPr>
          <w:rFonts w:ascii="黑体" w:hAnsi="黑体" w:eastAsia="黑体"/>
          <w:sz w:val="28"/>
          <w:szCs w:val="28"/>
        </w:rPr>
      </w:pPr>
      <w:r>
        <w:rPr>
          <w:rFonts w:ascii="黑体" w:hAnsi="黑体" w:eastAsia="黑体"/>
          <w:sz w:val="28"/>
          <w:szCs w:val="28"/>
        </w:rPr>
        <w:t>（一）本办法由全球市场中心全球官网运营部解释、修订。</w:t>
      </w:r>
    </w:p>
    <w:p>
      <w:pPr>
        <w:rPr>
          <w:rFonts w:ascii="黑体" w:hAnsi="黑体" w:eastAsia="黑体"/>
          <w:sz w:val="28"/>
          <w:szCs w:val="28"/>
        </w:rPr>
      </w:pPr>
      <w:r>
        <w:rPr>
          <w:rFonts w:ascii="黑体" w:hAnsi="黑体" w:eastAsia="黑体"/>
          <w:sz w:val="28"/>
          <w:szCs w:val="28"/>
        </w:rPr>
        <w:t>（二）本办法自发布之日起执行。</w:t>
      </w: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r>
        <w:rPr>
          <w:rFonts w:ascii="黑体" w:hAnsi="黑体" w:eastAsia="黑体"/>
          <w:sz w:val="28"/>
          <w:szCs w:val="28"/>
        </w:rPr>
        <w:t>附件1</w:t>
      </w:r>
    </w:p>
    <w:p>
      <w:pPr>
        <w:jc w:val="center"/>
        <w:rPr>
          <w:rFonts w:ascii="黑体" w:hAnsi="黑体" w:eastAsia="黑体"/>
          <w:sz w:val="28"/>
          <w:szCs w:val="28"/>
        </w:rPr>
      </w:pPr>
      <w:r>
        <w:rPr>
          <w:rFonts w:ascii="黑体" w:hAnsi="黑体" w:eastAsia="黑体"/>
          <w:sz w:val="28"/>
          <w:szCs w:val="28"/>
        </w:rPr>
        <w:t>官网需求申请表</w:t>
      </w:r>
    </w:p>
    <w:p>
      <w:pPr>
        <w:rPr>
          <w:rFonts w:ascii="黑体" w:hAnsi="黑体" w:eastAsia="黑体"/>
          <w:sz w:val="28"/>
          <w:szCs w:val="28"/>
        </w:rPr>
      </w:pPr>
    </w:p>
    <w:tbl>
      <w:tblPr>
        <w:tblStyle w:val="8"/>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115"/>
        <w:gridCol w:w="1410"/>
        <w:gridCol w:w="1245"/>
        <w:gridCol w:w="1575"/>
        <w:gridCol w:w="214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11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r>
              <w:rPr>
                <w:rFonts w:ascii="黑体" w:hAnsi="黑体" w:eastAsia="黑体"/>
                <w:sz w:val="28"/>
                <w:szCs w:val="28"/>
              </w:rPr>
              <w:t>申请单位</w:t>
            </w:r>
          </w:p>
          <w:p>
            <w:pPr>
              <w:rPr>
                <w:rFonts w:ascii="黑体" w:hAnsi="黑体" w:eastAsia="黑体"/>
                <w:sz w:val="28"/>
                <w:szCs w:val="28"/>
              </w:rPr>
            </w:pPr>
            <w:r>
              <w:rPr>
                <w:rFonts w:ascii="黑体" w:hAnsi="黑体" w:eastAsia="黑体"/>
                <w:sz w:val="28"/>
                <w:szCs w:val="28"/>
              </w:rPr>
              <w:t xml:space="preserve">   （部门）</w:t>
            </w:r>
          </w:p>
        </w:tc>
        <w:tc>
          <w:tcPr>
            <w:tcW w:w="2655" w:type="dxa"/>
            <w:gridSpan w:val="2"/>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p>
        </w:tc>
        <w:tc>
          <w:tcPr>
            <w:tcW w:w="157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r>
              <w:rPr>
                <w:rFonts w:ascii="黑体" w:hAnsi="黑体" w:eastAsia="黑体"/>
                <w:sz w:val="28"/>
                <w:szCs w:val="28"/>
              </w:rPr>
              <w:t>申请日期</w:t>
            </w:r>
          </w:p>
        </w:tc>
        <w:tc>
          <w:tcPr>
            <w:tcW w:w="214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115" w:type="dxa"/>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r>
              <w:rPr>
                <w:rFonts w:ascii="黑体" w:hAnsi="黑体" w:eastAsia="黑体"/>
                <w:sz w:val="28"/>
                <w:szCs w:val="28"/>
              </w:rPr>
              <w:t>申请负责人</w:t>
            </w:r>
          </w:p>
        </w:tc>
        <w:tc>
          <w:tcPr>
            <w:tcW w:w="1410"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r>
              <w:rPr>
                <w:rFonts w:ascii="黑体" w:hAnsi="黑体" w:eastAsia="黑体"/>
                <w:sz w:val="28"/>
                <w:szCs w:val="28"/>
              </w:rPr>
              <w:t>姓    名</w:t>
            </w:r>
          </w:p>
        </w:tc>
        <w:tc>
          <w:tcPr>
            <w:tcW w:w="1245"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p>
        </w:tc>
        <w:tc>
          <w:tcPr>
            <w:tcW w:w="1575"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r>
              <w:rPr>
                <w:rFonts w:ascii="黑体" w:hAnsi="黑体" w:eastAsia="黑体"/>
                <w:sz w:val="28"/>
                <w:szCs w:val="28"/>
              </w:rPr>
              <w:t>职位</w:t>
            </w:r>
          </w:p>
        </w:tc>
        <w:tc>
          <w:tcPr>
            <w:tcW w:w="2145"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115" w:type="dxa"/>
            <w:vMerge w:val="continue"/>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p>
        </w:tc>
        <w:tc>
          <w:tcPr>
            <w:tcW w:w="141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r>
              <w:rPr>
                <w:rFonts w:ascii="黑体" w:hAnsi="黑体" w:eastAsia="黑体"/>
                <w:sz w:val="28"/>
                <w:szCs w:val="28"/>
              </w:rPr>
              <w:t>办公电话</w:t>
            </w:r>
          </w:p>
        </w:tc>
        <w:tc>
          <w:tcPr>
            <w:tcW w:w="1245"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p>
        </w:tc>
        <w:tc>
          <w:tcPr>
            <w:tcW w:w="1575"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r>
              <w:rPr>
                <w:rFonts w:ascii="黑体" w:hAnsi="黑体" w:eastAsia="黑体"/>
                <w:sz w:val="28"/>
                <w:szCs w:val="28"/>
              </w:rPr>
              <w:t>电子邮件</w:t>
            </w:r>
          </w:p>
        </w:tc>
        <w:tc>
          <w:tcPr>
            <w:tcW w:w="2145"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761" w:hRule="atLeast"/>
        </w:trPr>
        <w:tc>
          <w:tcPr>
            <w:tcW w:w="211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rPr>
                <w:rFonts w:ascii="黑体" w:hAnsi="黑体" w:eastAsia="黑体"/>
                <w:sz w:val="28"/>
                <w:szCs w:val="28"/>
              </w:rPr>
            </w:pPr>
            <w:r>
              <w:rPr>
                <w:rFonts w:ascii="黑体" w:hAnsi="黑体" w:eastAsia="黑体"/>
                <w:sz w:val="28"/>
                <w:szCs w:val="28"/>
              </w:rPr>
              <w:t>申请事项</w:t>
            </w:r>
          </w:p>
        </w:tc>
        <w:tc>
          <w:tcPr>
            <w:tcW w:w="6375" w:type="dxa"/>
            <w:gridSpan w:val="4"/>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color w:val="FF0000"/>
                <w:sz w:val="21"/>
                <w:szCs w:val="21"/>
              </w:rPr>
            </w:pPr>
            <w:r>
              <w:rPr>
                <w:rFonts w:ascii="黑体" w:hAnsi="黑体" w:eastAsia="黑体"/>
                <w:color w:val="FF0000"/>
                <w:sz w:val="21"/>
                <w:szCs w:val="21"/>
              </w:rPr>
              <w:t>因为业务需求，现在需要给欧洲杯活动申请一个域名及解析。</w:t>
            </w:r>
          </w:p>
          <w:p>
            <w:pPr>
              <w:rPr>
                <w:rFonts w:ascii="黑体" w:hAnsi="黑体" w:eastAsia="黑体"/>
                <w:color w:val="FF0000"/>
                <w:sz w:val="21"/>
                <w:szCs w:val="21"/>
              </w:rPr>
            </w:pPr>
            <w:r>
              <w:rPr>
                <w:rFonts w:ascii="黑体" w:hAnsi="黑体" w:eastAsia="黑体"/>
                <w:color w:val="FF0000"/>
                <w:sz w:val="21"/>
                <w:szCs w:val="21"/>
              </w:rPr>
              <w:t xml:space="preserve">   </w:t>
            </w:r>
          </w:p>
          <w:p>
            <w:pPr>
              <w:rPr>
                <w:rFonts w:ascii="黑体" w:hAnsi="黑体" w:eastAsia="黑体"/>
                <w:color w:val="FF0000"/>
                <w:sz w:val="21"/>
                <w:szCs w:val="21"/>
              </w:rPr>
            </w:pPr>
            <w:r>
              <w:rPr>
                <w:rFonts w:ascii="黑体" w:hAnsi="黑体" w:eastAsia="黑体"/>
                <w:color w:val="FF0000"/>
                <w:sz w:val="21"/>
                <w:szCs w:val="21"/>
              </w:rPr>
              <w:t xml:space="preserve">   域名：xxx.tcl.com</w:t>
            </w:r>
          </w:p>
          <w:p>
            <w:pPr>
              <w:rPr>
                <w:rFonts w:ascii="黑体" w:hAnsi="黑体" w:eastAsia="黑体"/>
                <w:color w:val="FF0000"/>
                <w:sz w:val="21"/>
                <w:szCs w:val="21"/>
              </w:rPr>
            </w:pPr>
            <w:r>
              <w:rPr>
                <w:rFonts w:ascii="黑体" w:hAnsi="黑体" w:eastAsia="黑体"/>
                <w:color w:val="FF0000"/>
                <w:sz w:val="21"/>
                <w:szCs w:val="21"/>
              </w:rPr>
              <w:t xml:space="preserve">   IP：123.30.184.186</w:t>
            </w:r>
          </w:p>
          <w:p>
            <w:pPr>
              <w:rPr>
                <w:rFonts w:ascii="黑体" w:hAnsi="黑体" w:eastAsia="黑体"/>
                <w:color w:val="FF0000"/>
                <w:sz w:val="28"/>
                <w:szCs w:val="28"/>
              </w:rPr>
            </w:pPr>
            <w:r>
              <w:rPr>
                <w:rFonts w:ascii="黑体" w:hAnsi="黑体" w:eastAsia="黑体"/>
                <w:color w:val="FF0000"/>
                <w:sz w:val="28"/>
                <w:szCs w:val="28"/>
              </w:rPr>
              <w:t xml:space="preserve">   </w:t>
            </w:r>
          </w:p>
          <w:p>
            <w:pPr>
              <w:rPr>
                <w:rFonts w:ascii="黑体" w:hAnsi="黑体" w:eastAsia="黑体"/>
                <w:color w:val="FF0000"/>
                <w:sz w:val="28"/>
                <w:szCs w:val="28"/>
              </w:rPr>
            </w:pPr>
            <w:r>
              <w:rPr>
                <w:rFonts w:ascii="黑体" w:hAnsi="黑体" w:eastAsia="黑体"/>
                <w:color w:val="FF0000"/>
                <w:sz w:val="28"/>
                <w:szCs w:val="28"/>
              </w:rPr>
              <w:t xml:space="preserve">   </w:t>
            </w:r>
          </w:p>
          <w:p>
            <w:pPr>
              <w:rPr>
                <w:rFonts w:ascii="黑体" w:hAnsi="黑体" w:eastAsia="黑体"/>
                <w:color w:val="FF0000"/>
                <w:sz w:val="28"/>
                <w:szCs w:val="28"/>
              </w:rPr>
            </w:pPr>
            <w:r>
              <w:rPr>
                <w:rFonts w:ascii="黑体" w:hAnsi="黑体" w:eastAsia="黑体"/>
                <w:color w:val="FF0000"/>
                <w:sz w:val="28"/>
                <w:szCs w:val="28"/>
              </w:rPr>
              <w:t xml:space="preserve">   </w:t>
            </w:r>
          </w:p>
          <w:p>
            <w:pPr>
              <w:rPr>
                <w:rFonts w:ascii="黑体" w:hAnsi="黑体" w:eastAsia="黑体"/>
                <w:color w:val="FF0000"/>
                <w:sz w:val="28"/>
                <w:szCs w:val="28"/>
              </w:rPr>
            </w:pPr>
            <w:r>
              <w:rPr>
                <w:rFonts w:ascii="黑体" w:hAnsi="黑体" w:eastAsia="黑体"/>
                <w:color w:val="FF0000"/>
                <w:sz w:val="28"/>
                <w:szCs w:val="28"/>
              </w:rPr>
              <w:t xml:space="preserve">   </w:t>
            </w:r>
          </w:p>
          <w:p>
            <w:pPr>
              <w:rPr>
                <w:rFonts w:ascii="黑体" w:hAnsi="黑体" w:eastAsia="黑体"/>
                <w:color w:val="FF0000"/>
                <w:sz w:val="28"/>
                <w:szCs w:val="28"/>
              </w:rPr>
            </w:pPr>
            <w:r>
              <w:rPr>
                <w:rFonts w:ascii="黑体" w:hAnsi="黑体" w:eastAsia="黑体"/>
                <w:color w:val="FF0000"/>
                <w:sz w:val="28"/>
                <w:szCs w:val="28"/>
              </w:rPr>
              <w:t xml:space="preserve">   </w:t>
            </w:r>
          </w:p>
          <w:p>
            <w:pPr>
              <w:rPr>
                <w:rFonts w:ascii="黑体" w:hAnsi="黑体" w:eastAsia="黑体"/>
                <w:color w:val="FF0000"/>
                <w:sz w:val="28"/>
                <w:szCs w:val="28"/>
              </w:rPr>
            </w:pPr>
            <w:r>
              <w:rPr>
                <w:rFonts w:ascii="黑体" w:hAnsi="黑体" w:eastAsia="黑体"/>
                <w:color w:val="FF0000"/>
                <w:sz w:val="28"/>
                <w:szCs w:val="28"/>
              </w:rPr>
              <w:t xml:space="preserve">   </w:t>
            </w:r>
          </w:p>
          <w:p>
            <w:pPr>
              <w:rPr>
                <w:rFonts w:ascii="黑体" w:hAnsi="黑体" w:eastAsia="黑体"/>
                <w:color w:val="FF0000"/>
                <w:sz w:val="28"/>
                <w:szCs w:val="28"/>
              </w:rPr>
            </w:pPr>
            <w:r>
              <w:rPr>
                <w:rFonts w:ascii="黑体" w:hAnsi="黑体" w:eastAsia="黑体"/>
                <w:color w:val="FF0000"/>
                <w:sz w:val="28"/>
                <w:szCs w:val="28"/>
              </w:rPr>
              <w:t xml:space="preserve">   </w:t>
            </w:r>
          </w:p>
          <w:p>
            <w:pPr>
              <w:ind w:left="4200" w:hanging="4200" w:hangingChars="1500"/>
              <w:rPr>
                <w:rFonts w:ascii="黑体" w:hAnsi="黑体" w:eastAsia="黑体"/>
                <w:color w:val="000000" w:themeColor="text1"/>
                <w:sz w:val="28"/>
                <w:szCs w:val="28"/>
                <w14:textFill>
                  <w14:solidFill>
                    <w14:schemeClr w14:val="tx1"/>
                  </w14:solidFill>
                </w14:textFill>
              </w:rPr>
            </w:pPr>
            <w:r>
              <w:rPr>
                <w:rFonts w:ascii="黑体" w:hAnsi="黑体" w:eastAsia="黑体"/>
                <w:color w:val="FF0000"/>
                <w:sz w:val="28"/>
                <w:szCs w:val="28"/>
              </w:rPr>
              <w:t xml:space="preserve">                       </w:t>
            </w:r>
            <w:r>
              <w:rPr>
                <w:rFonts w:ascii="黑体" w:hAnsi="黑体" w:eastAsia="黑体"/>
                <w:color w:val="000000" w:themeColor="text1"/>
                <w:sz w:val="28"/>
                <w:szCs w:val="28"/>
                <w14:textFill>
                  <w14:solidFill>
                    <w14:schemeClr w14:val="tx1"/>
                  </w14:solidFill>
                </w14:textFill>
              </w:rPr>
              <w:t>申请部门领导签字：</w:t>
            </w:r>
          </w:p>
          <w:p>
            <w:pPr>
              <w:rPr>
                <w:rFonts w:ascii="黑体" w:hAnsi="黑体" w:eastAsia="黑体"/>
                <w:color w:val="FF0000"/>
                <w:sz w:val="28"/>
                <w:szCs w:val="28"/>
              </w:rPr>
            </w:pPr>
            <w:r>
              <w:rPr>
                <w:rFonts w:ascii="黑体" w:hAnsi="黑体" w:eastAsia="黑体"/>
                <w:color w:val="FF0000"/>
                <w:sz w:val="28"/>
                <w:szCs w:val="28"/>
              </w:rPr>
              <w:t xml:space="preserve">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114" w:hRule="atLeast"/>
        </w:trPr>
        <w:tc>
          <w:tcPr>
            <w:tcW w:w="211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r>
              <w:rPr>
                <w:rFonts w:ascii="黑体" w:hAnsi="黑体" w:eastAsia="黑体"/>
                <w:sz w:val="28"/>
                <w:szCs w:val="28"/>
              </w:rPr>
              <w:t>备   注</w:t>
            </w:r>
          </w:p>
        </w:tc>
        <w:tc>
          <w:tcPr>
            <w:tcW w:w="6375" w:type="dxa"/>
            <w:gridSpan w:val="4"/>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rPr>
                <w:rFonts w:ascii="黑体" w:hAnsi="黑体" w:eastAsia="黑体"/>
                <w:sz w:val="28"/>
                <w:szCs w:val="28"/>
              </w:rPr>
            </w:pPr>
          </w:p>
        </w:tc>
      </w:tr>
    </w:tbl>
    <w:p>
      <w:pPr>
        <w:rPr>
          <w:rFonts w:ascii="黑体" w:hAnsi="黑体" w:eastAsia="黑体"/>
          <w:sz w:val="28"/>
          <w:szCs w:val="28"/>
        </w:rPr>
      </w:pPr>
    </w:p>
    <w:p>
      <w:pPr>
        <w:rPr>
          <w:rFonts w:ascii="黑体" w:hAnsi="黑体" w:eastAsia="黑体"/>
          <w:sz w:val="28"/>
          <w:szCs w:val="28"/>
        </w:rPr>
      </w:pPr>
    </w:p>
    <w:bookmarkEnd w:id="0"/>
    <w:p>
      <w:pPr>
        <w:rPr>
          <w:rFonts w:ascii="黑体" w:hAnsi="黑体" w:eastAsia="黑体"/>
          <w:sz w:val="28"/>
          <w:szCs w:val="28"/>
        </w:rPr>
      </w:pPr>
    </w:p>
    <w:p>
      <w:pPr>
        <w:rPr>
          <w:rFonts w:ascii="黑体" w:hAnsi="黑体" w:eastAsia="黑体"/>
          <w:sz w:val="28"/>
          <w:szCs w:val="28"/>
        </w:rPr>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61"/>
    <w:rsid w:val="00193C8D"/>
    <w:rsid w:val="001E12C9"/>
    <w:rsid w:val="002C7161"/>
    <w:rsid w:val="003F085A"/>
    <w:rsid w:val="004616ED"/>
    <w:rsid w:val="005F0433"/>
    <w:rsid w:val="00644301"/>
    <w:rsid w:val="006A7C8C"/>
    <w:rsid w:val="008E68FA"/>
    <w:rsid w:val="00AB5487"/>
    <w:rsid w:val="00B02C7F"/>
    <w:rsid w:val="00E14E18"/>
    <w:rsid w:val="5F34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link w:val="10"/>
    <w:qFormat/>
    <w:uiPriority w:val="9"/>
    <w:pPr>
      <w:keepNext/>
      <w:keepLines/>
      <w:spacing w:before="0" w:after="0" w:line="408" w:lineRule="auto"/>
      <w:outlineLvl w:val="0"/>
    </w:pPr>
    <w:rPr>
      <w:b/>
      <w:bCs/>
      <w:color w:val="1A1A1A"/>
      <w:sz w:val="36"/>
      <w:szCs w:val="36"/>
    </w:rPr>
  </w:style>
  <w:style w:type="paragraph" w:styleId="3">
    <w:name w:val="heading 2"/>
    <w:basedOn w:val="1"/>
    <w:next w:val="1"/>
    <w:link w:val="11"/>
    <w:qFormat/>
    <w:uiPriority w:val="9"/>
    <w:pPr>
      <w:keepNext/>
      <w:keepLines/>
      <w:spacing w:before="0" w:after="0" w:line="408" w:lineRule="auto"/>
      <w:outlineLvl w:val="1"/>
    </w:pPr>
    <w:rPr>
      <w:b/>
      <w:bCs/>
      <w:color w:val="1A1A1A"/>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Subtitle"/>
    <w:basedOn w:val="1"/>
    <w:next w:val="1"/>
    <w:link w:val="13"/>
    <w:qFormat/>
    <w:uiPriority w:val="9"/>
    <w:pPr>
      <w:keepNext/>
      <w:keepLines/>
      <w:spacing w:before="0" w:after="0" w:line="408" w:lineRule="auto"/>
      <w:jc w:val="center"/>
      <w:outlineLvl w:val="1"/>
    </w:pPr>
    <w:rPr>
      <w:b/>
      <w:bCs/>
      <w:color w:val="5C5C5C"/>
      <w:sz w:val="36"/>
      <w:szCs w:val="36"/>
    </w:rPr>
  </w:style>
  <w:style w:type="paragraph" w:styleId="6">
    <w:name w:val="Title"/>
    <w:basedOn w:val="1"/>
    <w:next w:val="1"/>
    <w:link w:val="14"/>
    <w:qFormat/>
    <w:uiPriority w:val="9"/>
    <w:pPr>
      <w:keepNext/>
      <w:keepLines/>
      <w:spacing w:before="0" w:after="0" w:line="408" w:lineRule="auto"/>
      <w:jc w:val="center"/>
      <w:outlineLvl w:val="0"/>
    </w:pPr>
    <w:rPr>
      <w:b/>
      <w:bCs/>
      <w:color w:val="1A1A1A"/>
      <w:sz w:val="48"/>
      <w:szCs w:val="48"/>
    </w:rPr>
  </w:style>
  <w:style w:type="table" w:styleId="8">
    <w:name w:val="Table Grid"/>
    <w:basedOn w:val="7"/>
    <w:qFormat/>
    <w:uiPriority w:val="39"/>
    <w:pPr>
      <w:snapToGrid w:val="0"/>
      <w:spacing w:before="60" w:after="60" w:line="312" w:lineRule="auto"/>
    </w:pPr>
    <w:rPr>
      <w:color w:val="333333"/>
      <w:sz w:val="22"/>
    </w:rPr>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customStyle="1" w:styleId="10">
    <w:name w:val="标题 1 字符"/>
    <w:basedOn w:val="9"/>
    <w:link w:val="2"/>
    <w:qFormat/>
    <w:uiPriority w:val="9"/>
    <w:rPr>
      <w:b/>
      <w:bCs/>
      <w:color w:val="1A1A1A"/>
      <w:sz w:val="36"/>
      <w:szCs w:val="36"/>
    </w:rPr>
  </w:style>
  <w:style w:type="character" w:customStyle="1" w:styleId="11">
    <w:name w:val="标题 2 字符"/>
    <w:basedOn w:val="9"/>
    <w:link w:val="3"/>
    <w:qFormat/>
    <w:uiPriority w:val="9"/>
    <w:rPr>
      <w:b/>
      <w:bCs/>
      <w:color w:val="1A1A1A"/>
      <w:sz w:val="32"/>
      <w:szCs w:val="32"/>
    </w:rPr>
  </w:style>
  <w:style w:type="character" w:customStyle="1" w:styleId="12">
    <w:name w:val="标题 3 字符"/>
    <w:basedOn w:val="9"/>
    <w:link w:val="4"/>
    <w:qFormat/>
    <w:uiPriority w:val="9"/>
    <w:rPr>
      <w:b/>
      <w:bCs/>
      <w:color w:val="333333"/>
      <w:sz w:val="32"/>
      <w:szCs w:val="32"/>
    </w:rPr>
  </w:style>
  <w:style w:type="character" w:customStyle="1" w:styleId="13">
    <w:name w:val="副标题 字符"/>
    <w:basedOn w:val="9"/>
    <w:link w:val="5"/>
    <w:qFormat/>
    <w:uiPriority w:val="9"/>
    <w:rPr>
      <w:b/>
      <w:bCs/>
      <w:color w:val="5C5C5C"/>
      <w:sz w:val="36"/>
      <w:szCs w:val="36"/>
    </w:rPr>
  </w:style>
  <w:style w:type="character" w:customStyle="1" w:styleId="14">
    <w:name w:val="标题 字符"/>
    <w:basedOn w:val="9"/>
    <w:link w:val="6"/>
    <w:qFormat/>
    <w:uiPriority w:val="9"/>
    <w:rPr>
      <w:b/>
      <w:bCs/>
      <w:color w:val="1A1A1A"/>
      <w:sz w:val="48"/>
      <w:szCs w:val="4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37FDA860E5E3448872AAC1367E2DC5" ma:contentTypeVersion="13" ma:contentTypeDescription="Create a new document." ma:contentTypeScope="" ma:versionID="513bffc5458a383d734ed54ba1df2079">
  <xsd:schema xmlns:xsd="http://www.w3.org/2001/XMLSchema" xmlns:xs="http://www.w3.org/2001/XMLSchema" xmlns:p="http://schemas.microsoft.com/office/2006/metadata/properties" xmlns:ns3="7d112858-24a9-4f22-8bb3-356de919d3ee" xmlns:ns4="35cbc507-e33d-47ae-ae7d-89f1058e7561" targetNamespace="http://schemas.microsoft.com/office/2006/metadata/properties" ma:root="true" ma:fieldsID="3e94f83f367d72609a6ed5f8dbf22098" ns3:_="" ns4:_="">
    <xsd:import namespace="7d112858-24a9-4f22-8bb3-356de919d3ee"/>
    <xsd:import namespace="35cbc507-e33d-47ae-ae7d-89f1058e756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12858-24a9-4f22-8bb3-356de919d3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bc507-e33d-47ae-ae7d-89f1058e756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D23B20-9409-47D5-B803-01A54591392A}">
  <ds:schemaRefs/>
</ds:datastoreItem>
</file>

<file path=customXml/itemProps2.xml><?xml version="1.0" encoding="utf-8"?>
<ds:datastoreItem xmlns:ds="http://schemas.openxmlformats.org/officeDocument/2006/customXml" ds:itemID="{3580B6BB-6982-41FF-BDE7-4CBA3A14B731}">
  <ds:schemaRefs/>
</ds:datastoreItem>
</file>

<file path=customXml/itemProps3.xml><?xml version="1.0" encoding="utf-8"?>
<ds:datastoreItem xmlns:ds="http://schemas.openxmlformats.org/officeDocument/2006/customXml" ds:itemID="{24E11596-DD1F-4ADC-BA86-FE4D17544D9B}">
  <ds:schemaRefs/>
</ds:datastoreItem>
</file>

<file path=docProps/app.xml><?xml version="1.0" encoding="utf-8"?>
<Properties xmlns="http://schemas.openxmlformats.org/officeDocument/2006/extended-properties" xmlns:vt="http://schemas.openxmlformats.org/officeDocument/2006/docPropsVTypes">
  <Template>Normal.dotm</Template>
  <Pages>9</Pages>
  <Words>602</Words>
  <Characters>3438</Characters>
  <Lines>28</Lines>
  <Paragraphs>8</Paragraphs>
  <TotalTime>11</TotalTime>
  <ScaleCrop>false</ScaleCrop>
  <LinksUpToDate>false</LinksUpToDate>
  <CharactersWithSpaces>4032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2023-02-06T02:00:00Z</dcterms:created>
  <dc:creator>刘思蒙(SiMeng.Liu)</dc:creator>
  <cp:lastModifiedBy>Amin</cp:lastModifiedBy>
  <dcterms:modified xsi:type="dcterms:W3CDTF">2023-08-02T08:18:09Z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0x0101005637FDA860E5E3448872AAC1367E2DC5</vt:lpwstr>
  </property>
  <property fmtid="{D5CDD505-2E9C-101B-9397-08002B2CF9AE}" pid="3" name="KSOProductBuildVer">
    <vt:lpwstr>2052-12.1.0.15120</vt:lpwstr>
  </property>
  <property fmtid="{D5CDD505-2E9C-101B-9397-08002B2CF9AE}" pid="4" name="ICV">
    <vt:lpwstr>14976386C9ED43F99D0DDB2D51397408_13</vt:lpwstr>
  </property>
</Properties>
</file>