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77218">
      <w:pPr>
        <w:pStyle w:val="23"/>
        <w:spacing w:line="360" w:lineRule="auto"/>
        <w:ind w:left="560" w:hanging="560" w:hangingChars="200"/>
        <w:outlineLvl w:val="0"/>
        <w:rPr>
          <w:rFonts w:hint="default" w:ascii="Times New Roman" w:hAnsi="Times New Roman" w:cs="Times New Roman"/>
          <w:b/>
          <w:color w:val="auto"/>
          <w:kern w:val="0"/>
          <w:sz w:val="28"/>
          <w:szCs w:val="24"/>
          <w:highlight w:val="none"/>
        </w:rPr>
      </w:pPr>
      <w:r>
        <w:rPr>
          <w:rFonts w:ascii="Times New Roman" w:hAnsi="Times New Roman" w:cs="Times New Roman"/>
          <w:b/>
          <w:color w:val="auto"/>
          <w:kern w:val="0"/>
          <w:sz w:val="28"/>
          <w:szCs w:val="24"/>
          <w:highlight w:val="none"/>
        </w:rPr>
        <w:t>SUPPLEMENTARY INFORMATION</w:t>
      </w:r>
    </w:p>
    <w:p w14:paraId="59F0C81A">
      <w:pPr>
        <w:pStyle w:val="26"/>
        <w:spacing w:line="360" w:lineRule="auto"/>
        <w:ind w:firstLine="482"/>
        <w:rPr>
          <w:rFonts w:eastAsia="宋体"/>
          <w:color w:val="auto"/>
          <w:sz w:val="24"/>
          <w:szCs w:val="24"/>
          <w:highlight w:val="none"/>
        </w:rPr>
      </w:pPr>
      <w:r>
        <w:rPr>
          <w:rFonts w:eastAsia="宋体"/>
          <w:color w:val="auto"/>
          <w:sz w:val="24"/>
          <w:szCs w:val="24"/>
          <w:highlight w:val="none"/>
        </w:rPr>
        <w:t xml:space="preserve"> </w:t>
      </w:r>
    </w:p>
    <w:p w14:paraId="05396EEE">
      <w:pPr>
        <w:pStyle w:val="26"/>
        <w:spacing w:after="156" w:afterLines="50" w:line="360" w:lineRule="auto"/>
        <w:rPr>
          <w:rFonts w:eastAsia="宋体"/>
          <w:color w:val="auto"/>
          <w:sz w:val="32"/>
          <w:szCs w:val="32"/>
          <w:highlight w:val="none"/>
        </w:rPr>
      </w:pPr>
      <w:r>
        <w:rPr>
          <w:b/>
          <w:bCs/>
          <w:color w:val="auto"/>
          <w:sz w:val="28"/>
          <w:szCs w:val="28"/>
          <w:highlight w:val="none"/>
        </w:rPr>
        <w:t>Supplementary M</w:t>
      </w:r>
      <w:r>
        <w:rPr>
          <w:rFonts w:hint="eastAsia"/>
          <w:b/>
          <w:bCs/>
          <w:color w:val="auto"/>
          <w:sz w:val="28"/>
          <w:szCs w:val="28"/>
          <w:highlight w:val="none"/>
        </w:rPr>
        <w:t>ethods</w:t>
      </w:r>
    </w:p>
    <w:p w14:paraId="07616001">
      <w:pPr>
        <w:pStyle w:val="26"/>
        <w:adjustRightInd w:val="0"/>
        <w:snapToGrid w:val="0"/>
        <w:spacing w:line="360" w:lineRule="auto"/>
        <w:ind w:left="442" w:hanging="442" w:hangingChars="200"/>
        <w:rPr>
          <w:rFonts w:eastAsia="宋体"/>
          <w:bCs/>
          <w:color w:val="auto"/>
          <w:sz w:val="22"/>
          <w:szCs w:val="22"/>
          <w:highlight w:val="none"/>
        </w:rPr>
      </w:pPr>
      <w:bookmarkStart w:id="0" w:name="_Hlk120131159"/>
      <w:r>
        <w:rPr>
          <w:rFonts w:eastAsia="宋体"/>
          <w:b/>
          <w:color w:val="auto"/>
          <w:sz w:val="22"/>
          <w:szCs w:val="22"/>
          <w:highlight w:val="none"/>
        </w:rPr>
        <w:t>Method S1</w:t>
      </w:r>
      <w:r>
        <w:rPr>
          <w:rFonts w:hint="eastAsia" w:eastAsia="宋体"/>
          <w:b/>
          <w:color w:val="auto"/>
          <w:sz w:val="22"/>
          <w:szCs w:val="22"/>
          <w:highlight w:val="none"/>
        </w:rPr>
        <w:t>.</w:t>
      </w:r>
      <w:r>
        <w:rPr>
          <w:rFonts w:eastAsia="宋体"/>
          <w:b/>
          <w:color w:val="auto"/>
          <w:sz w:val="22"/>
          <w:szCs w:val="22"/>
          <w:highlight w:val="none"/>
        </w:rPr>
        <w:t xml:space="preserve"> </w:t>
      </w:r>
      <w:r>
        <w:rPr>
          <w:rFonts w:hint="eastAsia" w:eastAsia="宋体"/>
          <w:bCs/>
          <w:color w:val="auto"/>
          <w:sz w:val="22"/>
          <w:szCs w:val="22"/>
          <w:highlight w:val="none"/>
        </w:rPr>
        <w:t>Unified Symbolic Coding System and Multi-source Knowledge Graph Construction</w:t>
      </w:r>
    </w:p>
    <w:bookmarkEnd w:id="0"/>
    <w:p w14:paraId="3DACBB0A">
      <w:pPr>
        <w:pStyle w:val="26"/>
        <w:adjustRightInd w:val="0"/>
        <w:snapToGrid w:val="0"/>
        <w:spacing w:line="360" w:lineRule="auto"/>
        <w:rPr>
          <w:rFonts w:eastAsia="楷体"/>
          <w:b/>
          <w:bCs/>
          <w:color w:val="auto"/>
          <w:sz w:val="22"/>
          <w:highlight w:val="none"/>
        </w:rPr>
      </w:pPr>
    </w:p>
    <w:p w14:paraId="26903CB6">
      <w:pPr>
        <w:pStyle w:val="26"/>
        <w:spacing w:after="156" w:afterLines="50" w:line="360" w:lineRule="auto"/>
        <w:rPr>
          <w:rFonts w:eastAsia="宋体"/>
          <w:color w:val="auto"/>
          <w:sz w:val="32"/>
          <w:szCs w:val="32"/>
          <w:highlight w:val="none"/>
        </w:rPr>
      </w:pPr>
      <w:r>
        <w:rPr>
          <w:b/>
          <w:bCs/>
          <w:color w:val="auto"/>
          <w:sz w:val="28"/>
          <w:szCs w:val="28"/>
          <w:highlight w:val="none"/>
        </w:rPr>
        <w:t xml:space="preserve">Supplementary </w:t>
      </w:r>
      <w:r>
        <w:rPr>
          <w:rFonts w:hint="eastAsia"/>
          <w:b/>
          <w:bCs/>
          <w:color w:val="auto"/>
          <w:sz w:val="28"/>
          <w:szCs w:val="28"/>
          <w:highlight w:val="none"/>
        </w:rPr>
        <w:t>Results</w:t>
      </w:r>
    </w:p>
    <w:p w14:paraId="0675CFF0">
      <w:pPr>
        <w:pStyle w:val="26"/>
        <w:adjustRightInd w:val="0"/>
        <w:snapToGrid w:val="0"/>
        <w:spacing w:line="360" w:lineRule="auto"/>
        <w:ind w:left="442" w:hanging="442" w:hangingChars="200"/>
        <w:rPr>
          <w:rFonts w:eastAsia="宋体"/>
          <w:bCs/>
          <w:color w:val="auto"/>
          <w:sz w:val="22"/>
          <w:szCs w:val="22"/>
          <w:highlight w:val="none"/>
          <w:lang w:eastAsia="zh-CN"/>
        </w:rPr>
      </w:pPr>
      <w:r>
        <w:rPr>
          <w:rFonts w:hint="eastAsia" w:eastAsia="宋体"/>
          <w:b/>
          <w:color w:val="auto"/>
          <w:sz w:val="22"/>
          <w:szCs w:val="22"/>
          <w:highlight w:val="none"/>
        </w:rPr>
        <w:t xml:space="preserve">Result </w:t>
      </w:r>
      <w:r>
        <w:rPr>
          <w:rFonts w:eastAsia="宋体"/>
          <w:b/>
          <w:color w:val="auto"/>
          <w:sz w:val="22"/>
          <w:szCs w:val="22"/>
          <w:highlight w:val="none"/>
        </w:rPr>
        <w:t>S1</w:t>
      </w:r>
      <w:r>
        <w:rPr>
          <w:rFonts w:hint="eastAsia" w:eastAsia="宋体"/>
          <w:b/>
          <w:color w:val="auto"/>
          <w:sz w:val="22"/>
          <w:szCs w:val="22"/>
          <w:highlight w:val="none"/>
        </w:rPr>
        <w:t>.</w:t>
      </w:r>
      <w:r>
        <w:rPr>
          <w:rFonts w:eastAsia="宋体"/>
          <w:b/>
          <w:color w:val="auto"/>
          <w:sz w:val="22"/>
          <w:szCs w:val="22"/>
          <w:highlight w:val="none"/>
        </w:rPr>
        <w:t xml:space="preserve"> </w:t>
      </w:r>
      <w:r>
        <w:rPr>
          <w:rFonts w:hint="eastAsia" w:eastAsia="宋体"/>
          <w:bCs/>
          <w:color w:val="auto"/>
          <w:sz w:val="22"/>
          <w:szCs w:val="22"/>
          <w:highlight w:val="none"/>
        </w:rPr>
        <w:t>Comparative Analysis of Hybrid RAG Retrieval</w:t>
      </w:r>
      <w:r>
        <w:rPr>
          <w:rFonts w:hint="eastAsia" w:eastAsia="宋体"/>
          <w:bCs/>
          <w:color w:val="auto"/>
          <w:sz w:val="22"/>
          <w:szCs w:val="22"/>
          <w:highlight w:val="none"/>
          <w:lang w:eastAsia="zh-CN"/>
        </w:rPr>
        <w:t>.</w:t>
      </w:r>
    </w:p>
    <w:p w14:paraId="70B6D80A">
      <w:pPr>
        <w:widowControl/>
        <w:adjustRightInd w:val="0"/>
        <w:snapToGrid w:val="0"/>
        <w:spacing w:line="360" w:lineRule="auto"/>
        <w:ind w:left="442" w:hanging="442" w:hangingChars="200"/>
        <w:jc w:val="left"/>
        <w:rPr>
          <w:rFonts w:ascii="Times New Roman" w:hAnsi="Times New Roman" w:cs="Times New Roman"/>
          <w:color w:val="auto"/>
          <w:kern w:val="0"/>
          <w:sz w:val="22"/>
          <w:highlight w:val="none"/>
          <w:lang w:eastAsia="en-US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Result 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2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.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Comparative Analysis of RGCNInfer for Diagnostic Reasoning</w:t>
      </w:r>
      <w:r>
        <w:rPr>
          <w:rFonts w:ascii="Times New Roman" w:hAnsi="Times New Roman" w:cs="Times New Roman"/>
          <w:color w:val="auto"/>
          <w:kern w:val="0"/>
          <w:sz w:val="22"/>
          <w:highlight w:val="none"/>
          <w:lang w:eastAsia="en-US"/>
        </w:rPr>
        <w:t>.</w:t>
      </w:r>
    </w:p>
    <w:p w14:paraId="318AFE21">
      <w:pPr>
        <w:pStyle w:val="26"/>
        <w:adjustRightInd w:val="0"/>
        <w:snapToGrid w:val="0"/>
        <w:spacing w:line="360" w:lineRule="auto"/>
        <w:rPr>
          <w:rFonts w:eastAsia="楷体"/>
          <w:b/>
          <w:bCs/>
          <w:color w:val="auto"/>
          <w:sz w:val="22"/>
          <w:highlight w:val="none"/>
        </w:rPr>
      </w:pPr>
    </w:p>
    <w:p w14:paraId="3C4413A0">
      <w:pPr>
        <w:pStyle w:val="26"/>
        <w:spacing w:after="156" w:afterLines="50" w:line="360" w:lineRule="auto"/>
        <w:rPr>
          <w:b/>
          <w:bCs/>
          <w:color w:val="auto"/>
          <w:sz w:val="28"/>
          <w:szCs w:val="28"/>
          <w:highlight w:val="none"/>
        </w:rPr>
      </w:pPr>
      <w:r>
        <w:rPr>
          <w:b/>
          <w:bCs/>
          <w:color w:val="auto"/>
          <w:sz w:val="28"/>
          <w:szCs w:val="28"/>
          <w:highlight w:val="none"/>
        </w:rPr>
        <w:t>Supplementary Tables</w:t>
      </w:r>
    </w:p>
    <w:p w14:paraId="1AB1C096">
      <w:pPr>
        <w:adjustRightInd w:val="0"/>
        <w:snapToGrid w:val="0"/>
        <w:spacing w:line="360" w:lineRule="auto"/>
        <w:ind w:left="442" w:hanging="442" w:hangingChars="200"/>
        <w:rPr>
          <w:rFonts w:ascii="Times New Roman" w:hAnsi="Times New Roman" w:eastAsia="楷体" w:cs="Times New Roman"/>
          <w:color w:val="auto"/>
          <w:sz w:val="22"/>
          <w:highlight w:val="none"/>
        </w:rPr>
      </w:pPr>
      <w:bookmarkStart w:id="1" w:name="_Hlk120131197"/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Table S1.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Symbolic coding system for chicken disease diagnosis</w:t>
      </w:r>
    </w:p>
    <w:p w14:paraId="3035FDB4">
      <w:pPr>
        <w:adjustRightInd w:val="0"/>
        <w:snapToGrid w:val="0"/>
        <w:spacing w:line="360" w:lineRule="auto"/>
        <w:ind w:left="442" w:hanging="442" w:hangingChars="200"/>
        <w:rPr>
          <w:rFonts w:ascii="Times New Roman" w:hAnsi="Times New Roman" w:cs="Times New Roman"/>
          <w:color w:val="auto"/>
          <w:kern w:val="0"/>
          <w:sz w:val="24"/>
          <w:highlight w:val="none"/>
          <w:lang w:eastAsia="en-US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Table S2.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Relation types defined in the knowledge graph</w:t>
      </w:r>
    </w:p>
    <w:p w14:paraId="2252B99C">
      <w:pPr>
        <w:adjustRightInd w:val="0"/>
        <w:snapToGrid w:val="0"/>
        <w:spacing w:line="360" w:lineRule="auto"/>
        <w:ind w:left="442" w:hanging="442" w:hangingChars="200"/>
        <w:rPr>
          <w:rFonts w:hint="eastAsia"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T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able S3. </w:t>
      </w:r>
      <w:bookmarkEnd w:id="1"/>
      <w:r>
        <w:rPr>
          <w:rFonts w:ascii="Times New Roman" w:hAnsi="Times New Roman" w:eastAsia="楷体" w:cs="Times New Roman"/>
          <w:color w:val="auto"/>
          <w:sz w:val="22"/>
          <w:highlight w:val="none"/>
        </w:rPr>
        <w:t>Description and download link for preprocessed ONI rank data.</w:t>
      </w:r>
    </w:p>
    <w:p w14:paraId="7AB40453">
      <w:pPr>
        <w:adjustRightInd w:val="0"/>
        <w:snapToGrid w:val="0"/>
        <w:spacing w:line="360" w:lineRule="auto"/>
        <w:ind w:left="442" w:hanging="442" w:hangingChars="200"/>
        <w:rPr>
          <w:rFonts w:hint="eastAsia" w:eastAsia="楷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T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  <w:lang w:val="en-US" w:eastAsia="zh-CN"/>
        </w:rPr>
        <w:t>4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.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Comparative Results of RGCNInfer on Diagnostic Chain Generation and Structured Output Consistency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  <w:lang w:val="en-US" w:eastAsia="zh-CN"/>
        </w:rPr>
        <w:t>.</w:t>
      </w:r>
    </w:p>
    <w:p w14:paraId="34CB33B2">
      <w:pPr>
        <w:adjustRightInd w:val="0"/>
        <w:snapToGrid w:val="0"/>
        <w:spacing w:line="360" w:lineRule="auto"/>
        <w:rPr>
          <w:rFonts w:hint="eastAsia" w:ascii="Times New Roman" w:hAnsi="Times New Roman" w:eastAsia="楷体" w:cs="Times New Roman"/>
          <w:color w:val="auto"/>
          <w:sz w:val="22"/>
          <w:highlight w:val="none"/>
        </w:rPr>
      </w:pPr>
    </w:p>
    <w:p w14:paraId="5AA759A1">
      <w:pPr>
        <w:widowControl/>
        <w:spacing w:line="360" w:lineRule="auto"/>
        <w:ind w:firstLine="0" w:firstLineChars="0"/>
        <w:jc w:val="left"/>
        <w:rPr>
          <w:rFonts w:ascii="Times New Roman" w:hAnsi="Times New Roman" w:eastAsia="楷体" w:cs="Times New Roman"/>
          <w:color w:val="auto"/>
          <w:sz w:val="22"/>
          <w:highlight w:val="none"/>
          <w:lang w:val="en-GB"/>
        </w:rPr>
      </w:pPr>
      <w:r>
        <w:rPr>
          <w:rFonts w:ascii="Times New Roman" w:hAnsi="Times New Roman" w:eastAsia="楷体" w:cs="Times New Roman"/>
          <w:color w:val="auto"/>
          <w:sz w:val="22"/>
          <w:highlight w:val="none"/>
          <w:lang w:val="en-GB"/>
        </w:rPr>
        <w:br w:type="page"/>
      </w:r>
    </w:p>
    <w:p w14:paraId="61266C06">
      <w:pPr>
        <w:spacing w:before="156" w:beforeLines="50" w:after="156" w:afterLines="50" w:line="360" w:lineRule="auto"/>
        <w:ind w:firstLine="0" w:firstLineChars="0"/>
        <w:outlineLvl w:val="1"/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 xml:space="preserve">Supplementary </w:t>
      </w:r>
      <w:r>
        <w:rPr>
          <w:rFonts w:hint="eastAsia"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>Methods</w:t>
      </w: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 xml:space="preserve"> </w:t>
      </w:r>
    </w:p>
    <w:p w14:paraId="1A0B09A9">
      <w:pPr>
        <w:spacing w:line="360" w:lineRule="auto"/>
        <w:ind w:firstLine="0" w:firstLineChars="0"/>
        <w:outlineLvl w:val="2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Method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1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. 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Unified Symbolic Coding System and Multi-source Knowledge Graph Construction</w:t>
      </w:r>
    </w:p>
    <w:p w14:paraId="347E45F4">
      <w:pPr>
        <w:pStyle w:val="4"/>
        <w:numPr>
          <w:ilvl w:val="0"/>
          <w:numId w:val="2"/>
        </w:numPr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i/>
          <w:iCs/>
          <w:color w:val="auto"/>
          <w:sz w:val="22"/>
          <w:highlight w:val="none"/>
          <w:lang w:val="en-US"/>
        </w:rPr>
        <w:t xml:space="preserve">Disease-Specific Symbolic Coding System for Chicken Disease Diagnosis: 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KGPart-Agent integrates pathological terminology, clinical symptom descriptions, and visual characteristics to formulate a unified symbolic coding system. It defines five categories of entity nodes (Table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S1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) along with their coding specifications, and the inter-entity relationships are established in accordance with veterinary diagnostic logic (Table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S2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).</w:t>
      </w:r>
    </w:p>
    <w:p w14:paraId="6B4E65E6">
      <w:pPr>
        <w:spacing w:line="360" w:lineRule="auto"/>
        <w:ind w:firstLine="420" w:firstLineChars="0"/>
        <w:rPr>
          <w:rFonts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1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Symbolic coding system for chicken disease diagnosis.</w:t>
      </w:r>
    </w:p>
    <w:p w14:paraId="39A8149A">
      <w:pPr>
        <w:spacing w:line="360" w:lineRule="auto"/>
        <w:ind w:firstLine="420" w:firstLineChars="0"/>
        <w:rPr>
          <w:rFonts w:ascii="Times New Roman" w:hAnsi="Times New Roman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2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Relation types defined in the knowledge graph.</w:t>
      </w:r>
    </w:p>
    <w:p w14:paraId="002B2F17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</w:p>
    <w:p w14:paraId="13BA425A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This coding system is designed based on two core principles: semantic consistency and relational explicitness. Specifically, to prevent semantic ambiguity, each entity is assigned a unique code that remains consistent across different knowledge sources, and all implicit associations must be expressed through predefined relation types.</w:t>
      </w:r>
    </w:p>
    <w:p w14:paraId="6B9024A0">
      <w:pPr>
        <w:pStyle w:val="4"/>
        <w:numPr>
          <w:ilvl w:val="0"/>
          <w:numId w:val="2"/>
        </w:numPr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i/>
          <w:iCs/>
          <w:color w:val="auto"/>
          <w:sz w:val="22"/>
          <w:highlight w:val="none"/>
          <w:lang w:val="en-US"/>
        </w:rPr>
        <w:t xml:space="preserve">Multi-source Knowledge Graph Construction: 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KGPart-Agent constructs a domain knowledge network drawing from two primary sources: veterinary textbooks and expert experience. Textbook knowledge is extracted through a two-stage automated extraction pipeline. Following the rule-based filtering and manual verification, a high-coverage set of knowledge triplets is generated:</w:t>
      </w:r>
    </w:p>
    <w:p w14:paraId="13DA0399">
      <w:pPr>
        <w:pStyle w:val="34"/>
        <w:tabs>
          <w:tab w:val="center" w:pos="4150"/>
          <w:tab w:val="right" w:pos="8300"/>
        </w:tabs>
        <w:spacing w:line="360" w:lineRule="auto"/>
        <w:ind w:firstLine="0"/>
        <w:jc w:val="center"/>
        <w:rPr>
          <w:color w:val="auto"/>
          <w:sz w:val="22"/>
          <w:szCs w:val="22"/>
          <w:highlight w:val="none"/>
        </w:rPr>
      </w:pP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eastAsia="MS Mincho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K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auto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>={(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eastAsia="MS Mincho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h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j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eastAsia="MS Mincho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r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j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eastAsia="MS Mincho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t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j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SupPr>
          <m:e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w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j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  <m:sup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auto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p>
        </m:sSubSup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>,</m:t>
        </m:r>
        <m:r>
          <m:rPr>
            <m:nor/>
            <m:sty m:val="p"/>
          </m:rPr>
          <w:rPr>
            <w:b w:val="0"/>
            <w:i w:val="0"/>
            <w:color w:val="auto"/>
            <w:sz w:val="22"/>
            <w:szCs w:val="22"/>
            <w:highlight w:val="none"/>
            <w:lang w:eastAsia="zh-CN"/>
          </w:rPr>
          <m:t xml:space="preserve"> 0.75</m:t>
        </m:r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>)∣</m:t>
        </m:r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j</m:t>
        </m:r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 xml:space="preserve">=1,…, 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N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i/>
                <w:color w:val="auto"/>
                <w:sz w:val="22"/>
                <w:szCs w:val="22"/>
                <w:highlight w:val="none"/>
                <w:lang w:eastAsia="zh-CN"/>
              </w:rPr>
              <m:t>auto</m:t>
            </m:r>
            <m:ctrlPr>
              <w:rPr>
                <w:rFonts w:ascii="Cambria Math" w:hAnsi="Cambria Math"/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eastAsia="MS Mincho"/>
            <w:b w:val="0"/>
            <w:i w:val="0"/>
            <w:color w:val="auto"/>
            <w:sz w:val="22"/>
            <w:szCs w:val="22"/>
            <w:highlight w:val="none"/>
            <w:lang w:eastAsia="zh-CN"/>
          </w:rPr>
          <m:t>}</m:t>
        </m:r>
      </m:oMath>
      <w:r>
        <w:rPr>
          <w:rFonts w:hint="eastAsia" w:eastAsia="MS Mincho"/>
          <w:color w:val="auto"/>
          <w:sz w:val="22"/>
          <w:szCs w:val="22"/>
          <w:highlight w:val="none"/>
          <w:lang w:eastAsia="zh-CN"/>
        </w:rPr>
        <w:tab/>
      </w:r>
      <w:r>
        <w:rPr>
          <w:rFonts w:hint="eastAsia" w:eastAsia="MS Mincho" w:cs="MS Mincho"/>
          <w:color w:val="auto"/>
          <w:sz w:val="22"/>
          <w:szCs w:val="22"/>
          <w:highlight w:val="none"/>
          <w:lang w:eastAsia="zh-CN"/>
        </w:rPr>
        <w:t>(S1)</w:t>
      </w:r>
    </w:p>
    <w:p w14:paraId="2DC8B8CF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In terms of expert experience, we analyze symptom-disease co-occurrence patterns, and then employ Pointwise Mutual Information (PMI) to quantify their association strength:</w:t>
      </w:r>
    </w:p>
    <w:p w14:paraId="0866A7D5">
      <w:pPr>
        <w:pStyle w:val="34"/>
        <w:tabs>
          <w:tab w:val="center" w:pos="4150"/>
          <w:tab w:val="right" w:pos="8300"/>
        </w:tabs>
        <w:spacing w:line="360" w:lineRule="auto"/>
        <w:ind w:firstLine="0"/>
        <w:rPr>
          <w:color w:val="auto"/>
          <w:sz w:val="22"/>
          <w:szCs w:val="22"/>
          <w:highlight w:val="none"/>
          <w:lang w:eastAsia="zh-CN"/>
        </w:rPr>
      </w:pPr>
      <w:r>
        <w:rPr>
          <w:rFonts w:hint="eastAsia"/>
          <w:iCs/>
          <w:color w:val="auto"/>
          <w:sz w:val="22"/>
          <w:szCs w:val="22"/>
          <w:highlight w:val="none"/>
          <w:lang w:eastAsia="zh-CN"/>
        </w:rPr>
        <w:tab/>
      </w:r>
      <m:oMath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PMI</m:t>
        </m:r>
        <m:r>
          <m:rPr>
            <m:nor/>
            <m:sty m:val="p"/>
          </m:rPr>
          <w:rPr>
            <w:b w:val="0"/>
            <w:i w:val="0"/>
            <w:color w:val="auto"/>
            <w:sz w:val="22"/>
            <w:szCs w:val="22"/>
            <w:highlight w:val="none"/>
            <w:lang w:eastAsia="zh-CN"/>
          </w:rPr>
          <m:t>(</m:t>
        </m:r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s</m:t>
        </m:r>
        <m:r>
          <m:rPr>
            <m:nor/>
            <m:sty m:val="p"/>
          </m:rPr>
          <w:rPr>
            <w:b w:val="0"/>
            <w:i w:val="0"/>
            <w:color w:val="auto"/>
            <w:sz w:val="22"/>
            <w:szCs w:val="22"/>
            <w:highlight w:val="none"/>
            <w:lang w:eastAsia="zh-CN"/>
          </w:rPr>
          <m:t>,</m:t>
        </m:r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d</m:t>
        </m:r>
        <m:r>
          <m:rPr>
            <m:nor/>
            <m:sty m:val="p"/>
          </m:rPr>
          <w:rPr>
            <w:b w:val="0"/>
            <w:i w:val="0"/>
            <w:color w:val="auto"/>
            <w:sz w:val="22"/>
            <w:szCs w:val="22"/>
            <w:highlight w:val="none"/>
            <w:lang w:eastAsia="zh-CN"/>
          </w:rPr>
          <m:t>)=</m:t>
        </m:r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log</m:t>
        </m:r>
        <m:f>
          <m:fP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fPr>
          <m:num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P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,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num>
          <m:den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P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),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P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den>
        </m:f>
        <m:r>
          <m:rPr>
            <m:nor/>
            <m:sty m:val="p"/>
          </m:rPr>
          <w:rPr>
            <w:b w:val="0"/>
            <w:i w:val="0"/>
            <w:color w:val="auto"/>
            <w:sz w:val="22"/>
            <w:szCs w:val="22"/>
            <w:highlight w:val="none"/>
            <w:lang w:eastAsia="zh-CN"/>
          </w:rPr>
          <m:t>=</m:t>
        </m:r>
        <m:r>
          <m:rPr>
            <m:nor/>
          </m:rPr>
          <w:rPr>
            <w:i/>
            <w:iCs/>
            <w:color w:val="auto"/>
            <w:sz w:val="22"/>
            <w:szCs w:val="22"/>
            <w:highlight w:val="none"/>
            <w:lang w:eastAsia="zh-CN"/>
          </w:rPr>
          <m:t>log</m:t>
        </m:r>
        <m:f>
          <m:fP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fPr>
          <m:num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N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</w:rPr>
              <m:t>⋅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count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,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num>
          <m:den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count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auto"/>
                <w:sz w:val="22"/>
                <w:szCs w:val="22"/>
                <w:highlight w:val="none"/>
              </w:rPr>
              <m:t>⋅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count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(</m:t>
            </m:r>
            <m:r>
              <m:rPr>
                <m:nor/>
              </m:rPr>
              <w:rPr>
                <w:i/>
                <w:iCs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r>
              <m:rPr>
                <m:nor/>
                <m:sty m:val="p"/>
              </m:rPr>
              <w:rPr>
                <w:b w:val="0"/>
                <w:i w:val="0"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ascii="Cambria Math" w:hAnsi="Cambria Math"/>
                <w:color w:val="auto"/>
                <w:sz w:val="22"/>
                <w:szCs w:val="22"/>
                <w:highlight w:val="none"/>
                <w:lang w:eastAsia="zh-CN"/>
              </w:rPr>
            </m:ctrlPr>
          </m:den>
        </m:f>
      </m:oMath>
      <w:r>
        <w:rPr>
          <w:rFonts w:hint="eastAsia" w:hAnsi="Cambria Math"/>
          <w:color w:val="auto"/>
          <w:sz w:val="22"/>
          <w:szCs w:val="22"/>
          <w:highlight w:val="none"/>
          <w:lang w:eastAsia="zh-CN"/>
        </w:rPr>
        <w:tab/>
      </w:r>
      <w:r>
        <w:rPr>
          <w:rFonts w:hint="eastAsia" w:hAnsi="Cambria Math"/>
          <w:color w:val="auto"/>
          <w:sz w:val="22"/>
          <w:szCs w:val="22"/>
          <w:highlight w:val="none"/>
          <w:lang w:eastAsia="zh-CN"/>
        </w:rPr>
        <w:t>(S2)</w:t>
      </w:r>
    </w:p>
    <w:p w14:paraId="6541468E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where </w:t>
      </w:r>
      <m:oMath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N</m:t>
        </m:r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represents the total number of cases, and </w:t>
      </w:r>
      <m:oMath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count (s, d)</m:t>
        </m:r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denotes the co-occurrence frequency of symptom </w:t>
      </w:r>
      <m:oMath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s</m:t>
        </m:r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and disease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color w:val="auto"/>
            <w:sz w:val="22"/>
            <w:highlight w:val="none"/>
            <w:lang w:val="en-US"/>
          </w:rPr>
          <m:t>d</m:t>
        </m:r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. For symptom-disease pairs satisfying </w:t>
      </w:r>
      <m:oMath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PMI &gt; 3</m:t>
        </m:r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, we establish triplets and assigned normalized weights:</w:t>
      </w:r>
    </w:p>
    <w:p w14:paraId="143CADEC">
      <w:pPr>
        <w:pStyle w:val="34"/>
        <w:tabs>
          <w:tab w:val="center" w:pos="4150"/>
          <w:tab w:val="right" w:pos="8300"/>
        </w:tabs>
        <w:spacing w:line="360" w:lineRule="auto"/>
        <w:ind w:firstLine="0"/>
        <w:rPr>
          <w:iCs/>
          <w:color w:val="auto"/>
          <w:sz w:val="22"/>
          <w:szCs w:val="22"/>
          <w:highlight w:val="none"/>
          <w:lang w:eastAsia="zh-CN"/>
        </w:rPr>
      </w:pP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m:oMath>
        <m:sSubSup>
          <m:sSubSup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SupPr>
          <m:e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w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,</m:t>
            </m:r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  <m:sup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corpus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p>
        </m:sSubSup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=</m:t>
        </m:r>
        <m:f>
          <m:f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fPr>
          <m:num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PMI(</m:t>
            </m:r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s</m:t>
            </m:r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,</m:t>
            </m:r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d</m:t>
            </m:r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max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eastAsia"/>
                    <w:i/>
                    <w:color w:val="auto"/>
                    <w:sz w:val="22"/>
                    <w:szCs w:val="22"/>
                    <w:highlight w:val="none"/>
                    <w:lang w:eastAsia="zh-CN"/>
                  </w:rPr>
                  <m:t>s</m:t>
                </m:r>
                <m:r>
                  <m:rPr>
                    <m:nor/>
                    <m:sty m:val="p"/>
                  </m:rPr>
                  <w:rPr>
                    <w:rFonts w:hint="eastAsia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',</m:t>
                </m:r>
                <m:r>
                  <m:rPr>
                    <m:nor/>
                  </m:rPr>
                  <w:rPr>
                    <w:rFonts w:hint="eastAsia"/>
                    <w:i/>
                    <w:color w:val="auto"/>
                    <w:sz w:val="22"/>
                    <w:szCs w:val="22"/>
                    <w:highlight w:val="none"/>
                    <w:lang w:eastAsia="zh-CN"/>
                  </w:rPr>
                  <m:t>d'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PMI(</m:t>
            </m:r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s'</m:t>
            </m:r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,</m:t>
            </m:r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d'</m:t>
            </m:r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)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den>
        </m:f>
      </m:oMath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>(S3)</w:t>
      </w:r>
    </w:p>
    <w:p w14:paraId="76E905A1">
      <w:pPr>
        <w:pStyle w:val="34"/>
        <w:tabs>
          <w:tab w:val="center" w:pos="4150"/>
          <w:tab w:val="right" w:pos="8300"/>
        </w:tabs>
        <w:spacing w:line="360" w:lineRule="auto"/>
        <w:ind w:firstLine="0"/>
        <w:rPr>
          <w:iCs/>
          <w:color w:val="auto"/>
          <w:sz w:val="22"/>
          <w:szCs w:val="22"/>
          <w:highlight w:val="none"/>
          <w:lang w:eastAsia="zh-CN"/>
        </w:rPr>
      </w:pP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m:oMath>
        <m:sSub>
          <m:sSub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K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expert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={(</m:t>
        </m:r>
        <m:sSub>
          <m:sSub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h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i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 xml:space="preserve">, </m:t>
        </m:r>
        <m:sSub>
          <m:sSub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r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i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 xml:space="preserve">, </m:t>
        </m:r>
        <m:sSub>
          <m:sSub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t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i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 xml:space="preserve">, </m:t>
        </m:r>
        <m:sSubSup>
          <m:sSubSup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SupPr>
          <m:e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w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i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  <m:sup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expert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p>
        </m:sSubSup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, 0.80)∣</m:t>
        </m:r>
        <m:r>
          <m:rPr>
            <m:nor/>
          </m:rPr>
          <w:rPr>
            <w:rFonts w:hint="eastAsia"/>
            <w:i/>
            <w:color w:val="auto"/>
            <w:sz w:val="22"/>
            <w:szCs w:val="22"/>
            <w:highlight w:val="none"/>
            <w:lang w:eastAsia="zh-CN"/>
          </w:rPr>
          <m:t>i</m:t>
        </m:r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 xml:space="preserve">=1,…, </m:t>
        </m:r>
        <m:sSub>
          <m:sSubP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N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/>
                <w:i/>
                <w:color w:val="auto"/>
                <w:sz w:val="22"/>
                <w:szCs w:val="22"/>
                <w:highlight w:val="none"/>
                <w:lang w:eastAsia="zh-CN"/>
              </w:rPr>
              <m:t>expert</m:t>
            </m:r>
            <m:ctrl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}</m:t>
        </m:r>
      </m:oMath>
      <w:r>
        <w:rPr>
          <w:rFonts w:hint="eastAsia"/>
          <w:iCs/>
          <w:color w:val="auto"/>
          <w:sz w:val="22"/>
          <w:szCs w:val="22"/>
          <w:highlight w:val="none"/>
          <w:lang w:eastAsia="zh-CN"/>
        </w:rPr>
        <w:tab/>
      </w:r>
      <w:r>
        <w:rPr>
          <w:rFonts w:hint="eastAsia"/>
          <w:iCs/>
          <w:color w:val="auto"/>
          <w:sz w:val="22"/>
          <w:szCs w:val="22"/>
          <w:highlight w:val="none"/>
          <w:lang w:eastAsia="zh-CN"/>
        </w:rPr>
        <w:t>(S4)</w:t>
      </w:r>
    </w:p>
    <w:p w14:paraId="6489FBF4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These two knowledge sources are integrated into a unified knowledge graph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color w:val="auto"/>
            <w:sz w:val="22"/>
            <w:highlight w:val="none"/>
            <w:lang w:val="en-US"/>
          </w:rPr>
          <m:t>K</m:t>
        </m:r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auto"/>
                <w:sz w:val="22"/>
                <w:highlight w:val="none"/>
                <w:lang w:val="en-US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auto"/>
                <w:sz w:val="22"/>
                <w:highlight w:val="none"/>
                <w:lang w:val="en-US"/>
              </w:rPr>
              <m:t>expert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sub>
        </m:sSub>
        <m:r>
          <m:rPr>
            <m:nor/>
            <m:sty m:val="p"/>
          </m:rPr>
          <w:rPr>
            <w:rFonts w:ascii="Times New Roman" w:hAnsi="Times New Roman" w:cs="Times New Roman"/>
            <w:b w:val="0"/>
            <w:i w:val="0"/>
            <w:color w:val="auto"/>
            <w:sz w:val="22"/>
            <w:highlight w:val="none"/>
            <w:lang w:val="en-US"/>
          </w:rPr>
          <m:t>∪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auto"/>
                <w:sz w:val="22"/>
                <w:highlight w:val="none"/>
                <w:lang w:val="en-US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auto"/>
                <w:sz w:val="22"/>
                <w:highlight w:val="none"/>
                <w:lang w:val="en-US"/>
              </w:rPr>
              <m:t>auto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2"/>
                <w:highlight w:val="none"/>
                <w:lang w:val="en-US"/>
              </w:rPr>
            </m:ctrlPr>
          </m:sub>
        </m:sSub>
      </m:oMath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via graph merging operations. For conflicting triplets, a confidence-weighted fusion strategy is employed for conflict resolution:</w:t>
      </w:r>
    </w:p>
    <w:p w14:paraId="1C93B342">
      <w:pPr>
        <w:pStyle w:val="34"/>
        <w:tabs>
          <w:tab w:val="center" w:pos="4150"/>
          <w:tab w:val="right" w:pos="8300"/>
        </w:tabs>
        <w:spacing w:line="360" w:lineRule="auto"/>
        <w:ind w:firstLine="0"/>
        <w:rPr>
          <w:rFonts w:hAnsi="Cambria Math"/>
          <w:iCs/>
          <w:color w:val="auto"/>
          <w:sz w:val="22"/>
          <w:szCs w:val="22"/>
          <w:highlight w:val="none"/>
          <w:lang w:eastAsia="zh-CN"/>
        </w:rPr>
      </w:pP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m:oMath>
        <m:sSub>
          <m:sSub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w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  <m:t>final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=</m:t>
        </m:r>
        <m:f>
          <m:f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naryPr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src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​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p>
              <m:e>
                <m:sSub>
                  <m:sSubP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/>
                        <w:b w:val="0"/>
                        <w:i w:val="0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  <m:t>w</m:t>
                    </m: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/>
                        <w:b w:val="0"/>
                        <w:i w:val="0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  <m:t>src</m:t>
                    </m: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e>
            </m:nary>
            <m:r>
              <m:rPr>
                <m:sty m:val="p"/>
              </m:rPr>
              <w:rPr>
                <w:rFonts w:ascii="Cambria Math" w:hAnsi="Cambria Math"/>
                <w:color w:val="auto"/>
                <w:sz w:val="22"/>
                <w:szCs w:val="22"/>
                <w:highlight w:val="none"/>
              </w:rPr>
              <m:t>⋅</m:t>
            </m:r>
            <m:sSub>
              <m:sSubP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c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src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b>
            </m:sSub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naryPr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src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eastAsia" w:ascii="Cambria Math" w:hAnsi="Cambria Math"/>
                    <w:b w:val="0"/>
                    <w:i w:val="0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  <m:t>​</m:t>
                </m:r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sup>
              <m:e>
                <m:sSub>
                  <m:sSubP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/>
                        <w:b w:val="0"/>
                        <w:i w:val="0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  <m:t>c</m:t>
                    </m: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/>
                        <w:b w:val="0"/>
                        <w:i w:val="0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  <m:t>src</m:t>
                    </m:r>
                    <m:ctrlPr>
                      <w:rPr>
                        <w:rFonts w:hint="eastAsia" w:ascii="Cambria Math" w:hAnsi="Cambria Math"/>
                        <w:iCs/>
                        <w:color w:val="auto"/>
                        <w:sz w:val="22"/>
                        <w:szCs w:val="22"/>
                        <w:highlight w:val="none"/>
                        <w:lang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/>
                    <w:iCs/>
                    <w:color w:val="auto"/>
                    <w:sz w:val="22"/>
                    <w:szCs w:val="22"/>
                    <w:highlight w:val="none"/>
                    <w:lang w:eastAsia="zh-CN"/>
                  </w:rPr>
                </m:ctrlPr>
              </m:e>
            </m:nary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 xml:space="preserve">, </m:t>
        </m:r>
        <m:sSub>
          <m:sSub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c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/>
                <w:i/>
                <w:color w:val="auto"/>
                <w:sz w:val="22"/>
                <w:szCs w:val="22"/>
                <w:highlight w:val="none"/>
                <w:lang w:eastAsia="zh-CN"/>
              </w:rPr>
              <m:t>final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/>
            <w:b w:val="0"/>
            <w:i w:val="0"/>
            <w:iCs/>
            <w:color w:val="auto"/>
            <w:sz w:val="22"/>
            <w:szCs w:val="22"/>
            <w:highlight w:val="none"/>
            <w:lang w:eastAsia="zh-CN"/>
          </w:rPr>
          <m:t>=</m:t>
        </m:r>
        <m:sSub>
          <m:sSub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max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src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  <m:sSub>
          <m:sSubP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c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/>
                <w:b w:val="0"/>
                <w:i w:val="0"/>
                <w:iCs/>
                <w:color w:val="auto"/>
                <w:sz w:val="22"/>
                <w:szCs w:val="22"/>
                <w:highlight w:val="none"/>
                <w:lang w:eastAsia="zh-CN"/>
              </w:rPr>
              <m:t>src</m:t>
            </m:r>
            <m:ctrlPr>
              <w:rPr>
                <w:rFonts w:hint="eastAsia" w:ascii="Cambria Math" w:hAnsi="Cambria Math"/>
                <w:iCs/>
                <w:color w:val="auto"/>
                <w:sz w:val="22"/>
                <w:szCs w:val="22"/>
                <w:highlight w:val="none"/>
                <w:lang w:eastAsia="zh-CN"/>
              </w:rPr>
            </m:ctrlPr>
          </m:sub>
        </m:sSub>
      </m:oMath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ab/>
      </w:r>
      <w:r>
        <w:rPr>
          <w:rFonts w:hint="eastAsia" w:hAnsi="Cambria Math"/>
          <w:iCs/>
          <w:color w:val="auto"/>
          <w:sz w:val="22"/>
          <w:szCs w:val="22"/>
          <w:highlight w:val="none"/>
          <w:lang w:eastAsia="zh-CN"/>
        </w:rPr>
        <w:t>(S5)</w:t>
      </w:r>
    </w:p>
    <w:p w14:paraId="6950A8DD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The resulting domain knowledge network encompasses 26 chicken diseases, 128 clinical symptoms, 103 pathological features, 95 treatment protocols, and 98 visual characteristics, interconnected by 801 relational triplets, providing a robust knowledge foundation for subsequent multi-hop reasoning.</w:t>
      </w:r>
    </w:p>
    <w:p w14:paraId="566B27D6">
      <w:pPr>
        <w:widowControl/>
        <w:spacing w:line="360" w:lineRule="auto"/>
        <w:ind w:firstLine="0" w:firstLineChars="0"/>
        <w:jc w:val="left"/>
        <w:rPr>
          <w:rFonts w:ascii="Times New Roman" w:hAnsi="Times New Roman" w:eastAsia="楷体" w:cs="Times New Roman"/>
          <w:color w:val="auto"/>
          <w:sz w:val="22"/>
          <w:highlight w:val="none"/>
        </w:rPr>
      </w:pPr>
    </w:p>
    <w:p w14:paraId="67E418C1">
      <w:pPr>
        <w:spacing w:line="360" w:lineRule="auto"/>
        <w:ind w:firstLine="440"/>
        <w:rPr>
          <w:rFonts w:ascii="Times New Roman" w:hAnsi="Times New Roman" w:cs="Times New Roman"/>
          <w:color w:val="auto"/>
          <w:sz w:val="22"/>
          <w:highlight w:val="none"/>
        </w:rPr>
      </w:pPr>
      <w:r>
        <w:rPr>
          <w:rFonts w:ascii="Times New Roman" w:hAnsi="Times New Roman" w:cs="Times New Roman"/>
          <w:color w:val="auto"/>
          <w:sz w:val="22"/>
          <w:highlight w:val="none"/>
        </w:rPr>
        <w:br w:type="page"/>
      </w:r>
    </w:p>
    <w:p w14:paraId="3496800D">
      <w:pPr>
        <w:spacing w:before="156" w:beforeLines="50" w:after="156" w:afterLines="50" w:line="360" w:lineRule="auto"/>
        <w:ind w:firstLine="0" w:firstLineChars="0"/>
        <w:outlineLvl w:val="1"/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 xml:space="preserve">Supplementary </w:t>
      </w:r>
      <w:r>
        <w:rPr>
          <w:rFonts w:hint="eastAsia"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>Results</w:t>
      </w: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 xml:space="preserve"> </w:t>
      </w:r>
    </w:p>
    <w:p w14:paraId="0CBB47B2">
      <w:pPr>
        <w:spacing w:line="360" w:lineRule="auto"/>
        <w:ind w:firstLine="0" w:firstLineChars="0"/>
        <w:outlineLvl w:val="2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Results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 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1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. 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Comparative Analysis of Hybrid RAG Retrieval</w:t>
      </w:r>
    </w:p>
    <w:p w14:paraId="0BF9170C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We conducted retrieval-module comparison experiments using five configurations: Baseline without external knowledge, KG path retrieval only, Semantic retrieval only, KG + semantic fusion, and the full model. The results are reported in Table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S3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.</w:t>
      </w:r>
    </w:p>
    <w:p w14:paraId="6DF5DD3B">
      <w:pPr>
        <w:spacing w:line="360" w:lineRule="auto"/>
        <w:ind w:firstLine="420" w:firstLineChars="0"/>
        <w:rPr>
          <w:rFonts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3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Comparison results of the hybrid search mechanism (HYBRID RAG) in experimental tests.</w:t>
      </w:r>
    </w:p>
    <w:p w14:paraId="5EE37802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As shown in Table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S3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, KG path retrieval and Semantic retrieval exhibit different strengths across metrics. Specifically, KG path retrieval achieves a KG Consistency of 0.6220,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great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er than 0.4935 for Semantic retrieval, whereas Semantic retrieval achieves a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great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er F1-Score of 0.7415 than 0.6925 for KG path retrieval. After fusing the two retrieval strategies, Hybrid RAG improves the F1-Score and KG Consistency to 0.7578 and 0.6662, respectively. With dynamic graph reasoning and report generation further incorporated, the full model achieves the best performance, with an Entity F1-Score of 0.8829 and a KG Consistency of 0.7673.</w:t>
      </w:r>
    </w:p>
    <w:p w14:paraId="577FD126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</w:p>
    <w:p w14:paraId="5D877246">
      <w:pPr>
        <w:spacing w:line="360" w:lineRule="auto"/>
        <w:ind w:firstLine="0" w:firstLineChars="0"/>
        <w:outlineLvl w:val="2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Results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 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2</w:t>
      </w: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 xml:space="preserve">. 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Comparative Analysis of RGCNInfer for Diagnostic Reasoning</w:t>
      </w:r>
    </w:p>
    <w:p w14:paraId="67FDEEB7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We compared RGCNInfer in KGPart-Agent with mainstream models including LLaVA-Med, Gemini-2.5-Flash, and GPT-5, focusing on the completeness, language quality, and knowledge consistency of generated diagnostic chains. The reference outputs in the test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ing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set consist of four structured nodes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, which are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visual findings, pathology analysis, diagnosis reasoning, and treatment recommendation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.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This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allow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us to evaluate whether the generated outputs cover the full diagnostic workflow.</w:t>
      </w:r>
    </w:p>
    <w:p w14:paraId="2930AE0B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We evaluated the models using BLEU-1 to BLEU-4, ROUGE-1 to ROUGE-L, Entity F1-Score, and KG Consistency. BLEU-n measures n-gram overlap between generated and reference texts, wh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ereas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 ROUGE measures word-level overlap and thus reflects coverage of key information 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fldChar w:fldCharType="begin"/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instrText xml:space="preserve"> ADDIN EN.CITE &lt;EndNote&gt;&lt;Cite&gt;&lt;Author&gt;Lin&lt;/Author&gt;&lt;Year&gt;2004&lt;/Year&gt;&lt;RecNum&gt;51&lt;/RecNum&gt;&lt;DisplayText&gt;[1, 2]&lt;/DisplayText&gt;&lt;record&gt;&lt;rec-number&gt;51&lt;/rec-number&gt;&lt;foreign-keys&gt;&lt;key app="EN" db-id="vsdp925swrzvvvep0favrwa8r5esx90zx0sa" timestamp="1772291891"&gt;51&lt;/key&gt;&lt;/foreign-keys&gt;&lt;ref-type name="Conference Proceedings"&gt;10&lt;/ref-type&gt;&lt;contributors&gt;&lt;authors&gt;&lt;author&gt;Lin, Chin-Yew&lt;/author&gt;&lt;/authors&gt;&lt;/contributors&gt;&lt;titles&gt;&lt;title&gt;Rouge: A package for automatic evaluation of summaries&lt;/title&gt;&lt;secondary-title&gt;Text summarization branches out&lt;/secondary-title&gt;&lt;/titles&gt;&lt;pages&gt;74-81&lt;/pages&gt;&lt;dates&gt;&lt;year&gt;2004&lt;/year&gt;&lt;/dates&gt;&lt;urls&gt;&lt;/urls&gt;&lt;/record&gt;&lt;/Cite&gt;&lt;Cite&gt;&lt;Author&gt;Bai&lt;/Author&gt;&lt;Year&gt;2025&lt;/Year&gt;&lt;RecNum&gt;86&lt;/RecNum&gt;&lt;record&gt;&lt;rec-number&gt;86&lt;/rec-number&gt;&lt;foreign-keys&gt;&lt;key app="EN" db-id="vsdp925swrzvvvep0favrwa8r5esx90zx0sa" timestamp="1774848512"&gt;86&lt;/key&gt;&lt;/foreign-keys&gt;&lt;ref-type name="Journal Article"&gt;17&lt;/ref-type&gt;&lt;contributors&gt;&lt;authors&gt;&lt;author&gt;Bai, Qi&lt;/author&gt;&lt;author&gt;Zou, Xiaodi&lt;/author&gt;&lt;author&gt;Alhaskawi, Ahmad&lt;/author&gt;&lt;author&gt;Dong, Yanzhao&lt;/author&gt;&lt;author&gt;Zhou, Haiying&lt;/author&gt;&lt;author&gt;Ezzi, Sohaib Hasan Abdullah&lt;/author&gt;&lt;author&gt;Kota, Vishnu Goutham&lt;/author&gt;&lt;author&gt;AbdullaAbdulla, Mohamed Hasan Hasan&lt;/author&gt;&lt;author&gt;Abdalbary, Sahar Ahmed&lt;/author&gt;&lt;author&gt;Hu, Xianliang %J Scientific Reports&lt;/author&gt;&lt;/authors&gt;&lt;/contributors&gt;&lt;titles&gt;&lt;title&gt;Multi-view contrastive learning and symptom extraction insights for medical report generation&lt;/title&gt;&lt;/titles&gt;&lt;pages&gt;17991&lt;/pages&gt;&lt;volume&gt;15&lt;/volume&gt;&lt;number&gt;1&lt;/number&gt;&lt;dates&gt;&lt;year&gt;2025&lt;/year&gt;&lt;/dates&gt;&lt;isbn&gt;2045-2322&lt;/isbn&gt;&lt;urls&gt;&lt;/urls&gt;&lt;/record&gt;&lt;/Cite&gt;&lt;/EndNote&gt;</w:instrTex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fldChar w:fldCharType="separate"/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[1, 2]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fldChar w:fldCharType="end"/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; in particular, ROUGE-L is based on the longest common subsequence (LCS). The results are reported in Table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S4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.</w:t>
      </w:r>
    </w:p>
    <w:p w14:paraId="4B919AB6">
      <w:pPr>
        <w:spacing w:line="360" w:lineRule="auto"/>
        <w:ind w:firstLine="420" w:firstLineChars="0"/>
        <w:rPr>
          <w:rFonts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4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Comparative Results of RGCNInfer on Diagnostic Chain Generation and Structured Output Consistency.</w:t>
      </w:r>
    </w:p>
    <w:p w14:paraId="3DFE4D01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</w:p>
    <w:p w14:paraId="638D8F60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In terms of text generation quality, KGPart-Agent achieves a BLEU-4 of 0.5049 and a ROUGE-L of 0.7124, both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great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 xml:space="preserve">er than those of the competing models. For structured metrics, our method achieves an Entity F1-Score of 0.8829 and a KG Consistency of 0.7094. Among the baselines, GPT-5 attains a slightly </w:t>
      </w:r>
      <w:r>
        <w:rPr>
          <w:rFonts w:hint="eastAsia" w:ascii="Times New Roman" w:hAnsi="Times New Roman" w:cs="Times New Roman"/>
          <w:color w:val="auto"/>
          <w:sz w:val="22"/>
          <w:highlight w:val="none"/>
          <w:lang w:val="en-US"/>
        </w:rPr>
        <w:t>great</w:t>
      </w:r>
      <w:r>
        <w:rPr>
          <w:rFonts w:ascii="Times New Roman" w:hAnsi="Times New Roman" w:cs="Times New Roman"/>
          <w:color w:val="auto"/>
          <w:sz w:val="22"/>
          <w:highlight w:val="none"/>
          <w:lang w:val="en-US"/>
        </w:rPr>
        <w:t>er F1-Score of 0.9011, but its KG Consistency is only 0.0989. DeepSeek-V3.2 achieves a KG Consistency of 0.7068, close to our method, but its F1-Score is only 0.2793. Overall, KGPart-Agent maintains strong performance in both text generation quality and structured-output consistency.</w:t>
      </w:r>
    </w:p>
    <w:p w14:paraId="48C250D5">
      <w:pPr>
        <w:pStyle w:val="4"/>
        <w:spacing w:line="360" w:lineRule="auto"/>
        <w:ind w:firstLine="436"/>
        <w:rPr>
          <w:rFonts w:ascii="Times New Roman" w:hAnsi="Times New Roman" w:cs="Times New Roman"/>
          <w:color w:val="auto"/>
          <w:sz w:val="22"/>
          <w:highlight w:val="none"/>
          <w:lang w:val="en-US"/>
        </w:rPr>
      </w:pPr>
    </w:p>
    <w:p w14:paraId="61A3D7FD">
      <w:pPr>
        <w:spacing w:line="360" w:lineRule="auto"/>
        <w:ind w:firstLine="0" w:firstLineChars="0"/>
        <w:rPr>
          <w:rFonts w:ascii="Times New Roman" w:hAnsi="Times New Roman" w:cs="Times New Roman"/>
          <w:color w:val="auto"/>
          <w:sz w:val="22"/>
          <w:highlight w:val="none"/>
        </w:rPr>
      </w:pPr>
    </w:p>
    <w:p w14:paraId="65A1F23B">
      <w:pPr>
        <w:widowControl/>
        <w:spacing w:line="360" w:lineRule="auto"/>
        <w:ind w:firstLine="0" w:firstLineChars="0"/>
        <w:jc w:val="left"/>
        <w:rPr>
          <w:rFonts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color w:val="auto"/>
          <w:sz w:val="22"/>
          <w:highlight w:val="none"/>
        </w:rPr>
        <w:br w:type="page"/>
      </w:r>
    </w:p>
    <w:p w14:paraId="10D69BCD">
      <w:pPr>
        <w:spacing w:before="156" w:beforeLines="50" w:after="156" w:afterLines="50" w:line="360" w:lineRule="auto"/>
        <w:ind w:firstLine="0" w:firstLineChars="0"/>
        <w:outlineLvl w:val="1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>Supplementary Tables</w:t>
      </w:r>
    </w:p>
    <w:p w14:paraId="1423BD33">
      <w:pPr>
        <w:pStyle w:val="35"/>
        <w:spacing w:before="0" w:after="0" w:line="360" w:lineRule="auto"/>
        <w:outlineLvl w:val="2"/>
        <w:rPr>
          <w:color w:val="auto"/>
          <w:sz w:val="22"/>
          <w:szCs w:val="22"/>
          <w:highlight w:val="none"/>
          <w:lang w:eastAsia="zh-CN"/>
        </w:rPr>
      </w:pPr>
      <w:r>
        <w:rPr>
          <w:rFonts w:hint="eastAsia" w:eastAsia="楷体"/>
          <w:b/>
          <w:bCs/>
          <w:color w:val="auto"/>
          <w:sz w:val="22"/>
          <w:highlight w:val="none"/>
        </w:rPr>
        <w:t>T</w:t>
      </w:r>
      <w:r>
        <w:rPr>
          <w:rFonts w:eastAsia="楷体"/>
          <w:b/>
          <w:bCs/>
          <w:color w:val="auto"/>
          <w:sz w:val="22"/>
          <w:highlight w:val="none"/>
        </w:rPr>
        <w:t xml:space="preserve">able S1. </w:t>
      </w:r>
      <w:r>
        <w:rPr>
          <w:color w:val="auto"/>
          <w:sz w:val="22"/>
          <w:szCs w:val="22"/>
          <w:highlight w:val="none"/>
          <w:lang w:eastAsia="zh-CN"/>
        </w:rPr>
        <w:t>S</w:t>
      </w:r>
      <w:r>
        <w:rPr>
          <w:rFonts w:hint="eastAsia"/>
          <w:color w:val="auto"/>
          <w:sz w:val="22"/>
          <w:szCs w:val="22"/>
          <w:highlight w:val="none"/>
          <w:lang w:eastAsia="zh-CN"/>
        </w:rPr>
        <w:t>ymbolic coding system for chicken disease diagnosis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2043"/>
        <w:gridCol w:w="3304"/>
        <w:gridCol w:w="1268"/>
      </w:tblGrid>
      <w:tr w14:paraId="7FE05329">
        <w:trPr>
          <w:jc w:val="center"/>
        </w:trPr>
        <w:tc>
          <w:tcPr>
            <w:tcW w:w="19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A1E0A1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Entity Type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75256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Semantic Description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28206F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Typical Examples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70F127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Code Prefix</w:t>
            </w:r>
          </w:p>
        </w:tc>
      </w:tr>
      <w:tr w14:paraId="5086F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3559D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Disease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i/>
                  <w:iCs/>
                  <w:color w:val="auto"/>
                  <w:kern w:val="0"/>
                  <w:sz w:val="22"/>
                  <w:highlight w:val="none"/>
                  <w:lang w:bidi="ar"/>
                </w:rPr>
                <m:t>D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83C7B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Disease name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5095C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Newcastle disease, avian influenza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14DDA0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DIS_</w:t>
            </w:r>
          </w:p>
        </w:tc>
      </w:tr>
      <w:tr w14:paraId="64E09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6A401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Symptom</w:t>
            </w: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 xml:space="preserve">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auto"/>
                  <w:sz w:val="22"/>
                  <w:highlight w:val="none"/>
                </w:rPr>
                <m:t>S</m:t>
              </m:r>
            </m:oMath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EEA01D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Clinical symptom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816C00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Dyspnea, diarrhea, torticollis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9125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SYM_</w:t>
            </w:r>
          </w:p>
        </w:tc>
      </w:tr>
      <w:tr w14:paraId="0BE89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1FCD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Pathology</w:t>
            </w: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 xml:space="preserve">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auto"/>
                  <w:sz w:val="22"/>
                  <w:highlight w:val="none"/>
                </w:rPr>
                <m:t>P</m:t>
              </m:r>
            </m:oMath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CE745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Pathological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119E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Hepatic hemorrhage, intestinal ulceration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AC87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PATH_</w:t>
            </w:r>
          </w:p>
        </w:tc>
      </w:tr>
      <w:tr w14:paraId="632FB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B91A7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Treatment</w:t>
            </w: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 xml:space="preserve">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auto"/>
                  <w:sz w:val="22"/>
                  <w:highlight w:val="none"/>
                </w:rPr>
                <m:t>T</m:t>
              </m:r>
            </m:oMath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FB82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Treatment protocol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81C50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Vaccination, antibiotic therapy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E2FDCF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TREAT_</w:t>
            </w:r>
          </w:p>
        </w:tc>
      </w:tr>
      <w:tr w14:paraId="0CDCD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DB3EAE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Visual Feature</w:t>
            </w: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 xml:space="preserve">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auto"/>
                  <w:sz w:val="22"/>
                  <w:highlight w:val="none"/>
                </w:rPr>
                <m:t>V</m:t>
              </m:r>
            </m:oMath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00745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Visual characteristic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7B693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Comb cyanosis, swollen joints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7F834C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VIS_</w:t>
            </w:r>
          </w:p>
        </w:tc>
      </w:tr>
    </w:tbl>
    <w:p w14:paraId="0F112E7A">
      <w:pPr>
        <w:pStyle w:val="35"/>
        <w:spacing w:before="0" w:after="0" w:line="360" w:lineRule="auto"/>
        <w:jc w:val="center"/>
        <w:rPr>
          <w:color w:val="auto"/>
          <w:sz w:val="22"/>
          <w:szCs w:val="22"/>
          <w:highlight w:val="none"/>
        </w:rPr>
      </w:pPr>
    </w:p>
    <w:p w14:paraId="2130C5A7">
      <w:pPr>
        <w:pStyle w:val="35"/>
        <w:spacing w:before="0" w:after="0" w:line="360" w:lineRule="auto"/>
        <w:outlineLvl w:val="2"/>
        <w:rPr>
          <w:color w:val="auto"/>
          <w:sz w:val="22"/>
          <w:szCs w:val="22"/>
          <w:highlight w:val="none"/>
          <w:lang w:eastAsia="zh-CN"/>
        </w:rPr>
      </w:pPr>
      <w:r>
        <w:rPr>
          <w:rFonts w:eastAsia="楷体"/>
          <w:b/>
          <w:bCs/>
          <w:color w:val="auto"/>
          <w:sz w:val="22"/>
          <w:highlight w:val="none"/>
        </w:rPr>
        <w:t xml:space="preserve">Table S2. </w:t>
      </w:r>
      <w:r>
        <w:rPr>
          <w:rFonts w:hint="eastAsia"/>
          <w:color w:val="auto"/>
          <w:sz w:val="22"/>
          <w:szCs w:val="22"/>
          <w:highlight w:val="none"/>
          <w:lang w:eastAsia="zh-CN"/>
        </w:rPr>
        <w:t>Relation types defined in the knowledge graph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839"/>
        <w:gridCol w:w="1975"/>
        <w:gridCol w:w="1512"/>
      </w:tblGrid>
      <w:tr w14:paraId="7085A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71B6E8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Relation Type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6B5F1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Semantic Description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2B1A52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Example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9D7B07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0"/>
                <w:sz w:val="22"/>
                <w:highlight w:val="none"/>
                <w:lang w:bidi="ar"/>
              </w:rPr>
              <w:t>Directionality</w:t>
            </w:r>
          </w:p>
        </w:tc>
      </w:tr>
      <w:tr w14:paraId="35952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10E2C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has_symptom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997B5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A disease manifests as a specific clinical symptom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DDFE9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Newcastle disease </w:t>
            </w:r>
            <m:oMath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b w:val="0"/>
                  <w:i w:val="0"/>
                  <w:color w:val="auto"/>
                  <w:sz w:val="22"/>
                  <w:highlight w:val="none"/>
                </w:rPr>
                <m:t>→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dyspnea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3A95D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Directed</w:t>
            </w:r>
          </w:p>
        </w:tc>
      </w:tr>
      <w:tr w14:paraId="2FEC8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47130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has_pathology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070F8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A disease causes a specific pathological change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ADC98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Coccidiosis </w:t>
            </w:r>
            <m:oMath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b w:val="0"/>
                  <w:i w:val="0"/>
                  <w:color w:val="auto"/>
                  <w:sz w:val="22"/>
                  <w:highlight w:val="none"/>
                </w:rPr>
                <m:t>→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intestinal hemorrhage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DA269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Directed</w:t>
            </w:r>
          </w:p>
        </w:tc>
      </w:tr>
      <w:tr w14:paraId="4ED7C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14391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recommend_treatment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9DE8D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  <w:t>Recommended therapeutic protocols for a disease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BAF00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Avian influenza </w:t>
            </w:r>
            <m:oMath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b w:val="0"/>
                  <w:i w:val="0"/>
                  <w:color w:val="auto"/>
                  <w:sz w:val="22"/>
                  <w:highlight w:val="none"/>
                </w:rPr>
                <m:t>→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vaccination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55C6E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Directed</w:t>
            </w:r>
          </w:p>
        </w:tc>
      </w:tr>
      <w:tr w14:paraId="355BF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E26A1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indicates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CB764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A visual feature indicates a specific symptom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46D6A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Bloody droppings</w:t>
            </w:r>
            <m:oMath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b w:val="0"/>
                  <w:i w:val="0"/>
                  <w:color w:val="auto"/>
                  <w:sz w:val="22"/>
                  <w:highlight w:val="none"/>
                </w:rPr>
                <m:t>→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hematochezia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65F8A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Directed</w:t>
            </w:r>
          </w:p>
        </w:tc>
      </w:tr>
      <w:tr w14:paraId="399CC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2F85E3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co_occurs_with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3009EA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Co-occurrence association between symptoms or pathological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F9358B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Coughing </w:t>
            </w:r>
            <m:oMath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b w:val="0"/>
                  <w:i w:val="0"/>
                  <w:color w:val="auto"/>
                  <w:sz w:val="22"/>
                  <w:highlight w:val="none"/>
                </w:rPr>
                <m:t>↔</m:t>
              </m:r>
            </m:oMath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 xml:space="preserve"> nasal discharge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87DFAD">
            <w:pPr>
              <w:widowControl/>
              <w:spacing w:line="360" w:lineRule="auto"/>
              <w:ind w:firstLine="0" w:firstLineChars="0"/>
              <w:jc w:val="left"/>
              <w:rPr>
                <w:rFonts w:ascii="Times New Roman" w:hAnsi="Times New Roman" w:cs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  <w:sz w:val="22"/>
                <w:highlight w:val="none"/>
                <w:lang w:bidi="ar"/>
              </w:rPr>
              <w:t>Undirected</w:t>
            </w:r>
          </w:p>
        </w:tc>
      </w:tr>
    </w:tbl>
    <w:p w14:paraId="4DEF8240">
      <w:pPr>
        <w:spacing w:line="360" w:lineRule="auto"/>
        <w:ind w:firstLine="0" w:firstLineChars="0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</w:p>
    <w:p w14:paraId="78649DE6">
      <w:pPr>
        <w:spacing w:line="360" w:lineRule="auto"/>
        <w:ind w:firstLine="0" w:firstLineChars="0"/>
        <w:outlineLvl w:val="2"/>
        <w:rPr>
          <w:rFonts w:ascii="Times New Roman" w:hAnsi="Times New Roman" w:eastAsia="楷体" w:cs="Times New Roman"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3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Comparison results of the hybrid search mechanism (HYBRID RAG) in experimental tests.</w:t>
      </w: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564"/>
        <w:gridCol w:w="1319"/>
        <w:gridCol w:w="1059"/>
        <w:gridCol w:w="1599"/>
        <w:gridCol w:w="1032"/>
      </w:tblGrid>
      <w:tr w14:paraId="021C9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70A79CA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hint="eastAsia" w:ascii="Times New Roman" w:hAnsi="Times New Roman"/>
                <w:b/>
                <w:color w:val="auto"/>
                <w:sz w:val="22"/>
                <w:highlight w:val="none"/>
                <w:lang w:bidi="ar"/>
              </w:rPr>
              <w:t>Configuration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EF1053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color w:val="auto"/>
                <w:sz w:val="22"/>
                <w:highlight w:val="none"/>
                <w:lang w:bidi="ar"/>
              </w:rPr>
              <w:t>Entity Precision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52271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color w:val="auto"/>
                <w:sz w:val="22"/>
                <w:highlight w:val="none"/>
                <w:lang w:bidi="ar"/>
              </w:rPr>
              <w:t>Entity Recall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B30076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color w:val="auto"/>
                <w:sz w:val="22"/>
                <w:highlight w:val="none"/>
                <w:lang w:bidi="ar"/>
              </w:rPr>
              <w:t>F1-Score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259DEA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color w:val="auto"/>
                <w:sz w:val="22"/>
                <w:highlight w:val="none"/>
                <w:lang w:bidi="ar"/>
              </w:rPr>
              <w:t>KG Consistency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27D4D4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color w:val="auto"/>
                <w:sz w:val="22"/>
                <w:highlight w:val="none"/>
                <w:lang w:bidi="ar"/>
              </w:rPr>
              <w:t>BLEU-4</w:t>
            </w:r>
          </w:p>
        </w:tc>
      </w:tr>
      <w:tr w14:paraId="7201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1F885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Baseline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7D2E6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0.7500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27E1A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0.7812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C55EE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0.6905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964ED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0.4285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1AD4A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0.4330</w:t>
            </w:r>
          </w:p>
        </w:tc>
      </w:tr>
      <w:tr w14:paraId="66B4C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9CD17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KG path retrieval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DC8C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0.7852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CDAA0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0.6245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C25E2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0.6925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62F4F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0.6220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1CC3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0.4015</w:t>
            </w:r>
          </w:p>
        </w:tc>
      </w:tr>
      <w:tr w14:paraId="03A54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1F18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Semantic retrieval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C34D2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0.7728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30F2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0.7520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9A4E9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0.7415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852A3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0.4935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728CE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0.4350</w:t>
            </w:r>
          </w:p>
        </w:tc>
      </w:tr>
      <w:tr w14:paraId="58CD4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B6647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</w:rPr>
              <w:t>Hybrid RAG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FB105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0.8083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6F724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0.7305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3F041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0.7578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B4AEBB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0.6662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9FE97D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2"/>
                <w:highlight w:val="none"/>
                <w:lang w:bidi="ar"/>
              </w:rPr>
              <w:t>0.4219</w:t>
            </w:r>
          </w:p>
        </w:tc>
      </w:tr>
      <w:tr w14:paraId="008BC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C45E07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Ours (Full)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581081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0.9313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7DF629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0.8609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595FCE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0.8829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BD44AC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0.7673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001E00">
            <w:pPr>
              <w:pStyle w:val="7"/>
              <w:spacing w:line="360" w:lineRule="auto"/>
              <w:ind w:firstLine="0" w:firstLineChars="0"/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2"/>
                <w:highlight w:val="none"/>
                <w:lang w:bidi="ar"/>
              </w:rPr>
              <w:t>0.5538</w:t>
            </w:r>
          </w:p>
        </w:tc>
      </w:tr>
    </w:tbl>
    <w:p w14:paraId="0CDB3D51">
      <w:pPr>
        <w:spacing w:line="360" w:lineRule="auto"/>
        <w:ind w:firstLine="440"/>
        <w:rPr>
          <w:rFonts w:ascii="Times New Roman" w:hAnsi="Times New Roman" w:eastAsia="楷体" w:cs="Times New Roman"/>
          <w:color w:val="auto"/>
          <w:sz w:val="22"/>
          <w:highlight w:val="none"/>
        </w:rPr>
      </w:pPr>
    </w:p>
    <w:p w14:paraId="51CC0E83">
      <w:pPr>
        <w:spacing w:line="360" w:lineRule="auto"/>
        <w:ind w:firstLine="0" w:firstLineChars="0"/>
        <w:outlineLvl w:val="2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  <w:t>Table S</w:t>
      </w:r>
      <w:r>
        <w:rPr>
          <w:rFonts w:hint="eastAsia" w:ascii="Times New Roman" w:hAnsi="Times New Roman" w:eastAsia="楷体" w:cs="Times New Roman"/>
          <w:b/>
          <w:bCs/>
          <w:color w:val="auto"/>
          <w:sz w:val="22"/>
          <w:highlight w:val="none"/>
        </w:rPr>
        <w:t>4</w:t>
      </w:r>
      <w:r>
        <w:rPr>
          <w:rFonts w:ascii="Times New Roman" w:hAnsi="Times New Roman" w:eastAsia="楷体" w:cs="Times New Roman"/>
          <w:color w:val="auto"/>
          <w:sz w:val="22"/>
          <w:highlight w:val="none"/>
        </w:rPr>
        <w:t xml:space="preserve"> </w:t>
      </w:r>
      <w:r>
        <w:rPr>
          <w:rFonts w:hint="eastAsia" w:ascii="Times New Roman" w:hAnsi="Times New Roman" w:eastAsia="楷体" w:cs="Times New Roman"/>
          <w:color w:val="auto"/>
          <w:sz w:val="22"/>
          <w:highlight w:val="none"/>
        </w:rPr>
        <w:t>Comparative Results of RGCNInfer on Diagnostic Chain Generation and Structured Output Consistency.</w:t>
      </w:r>
    </w:p>
    <w:tbl>
      <w:tblPr>
        <w:tblStyle w:val="9"/>
        <w:tblW w:w="5285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714"/>
        <w:gridCol w:w="714"/>
        <w:gridCol w:w="714"/>
        <w:gridCol w:w="714"/>
        <w:gridCol w:w="848"/>
        <w:gridCol w:w="849"/>
        <w:gridCol w:w="872"/>
        <w:gridCol w:w="719"/>
        <w:gridCol w:w="1036"/>
      </w:tblGrid>
      <w:tr w14:paraId="6F84E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55A4E0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Model</w:t>
            </w:r>
          </w:p>
        </w:tc>
        <w:tc>
          <w:tcPr>
            <w:tcW w:w="3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A2E91D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BLEU-1</w:t>
            </w:r>
          </w:p>
        </w:tc>
        <w:tc>
          <w:tcPr>
            <w:tcW w:w="3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D5B8CE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BLEU-2</w:t>
            </w:r>
          </w:p>
        </w:tc>
        <w:tc>
          <w:tcPr>
            <w:tcW w:w="3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1F8451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BLEU-3</w:t>
            </w:r>
          </w:p>
        </w:tc>
        <w:tc>
          <w:tcPr>
            <w:tcW w:w="3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23C3DB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BLEU-4</w:t>
            </w:r>
          </w:p>
        </w:tc>
        <w:tc>
          <w:tcPr>
            <w:tcW w:w="4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1D9DC0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ROUGE-1</w:t>
            </w:r>
          </w:p>
        </w:tc>
        <w:tc>
          <w:tcPr>
            <w:tcW w:w="4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398587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ROUGE-2</w:t>
            </w:r>
          </w:p>
        </w:tc>
        <w:tc>
          <w:tcPr>
            <w:tcW w:w="4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C4370C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ROUGE-L</w:t>
            </w:r>
          </w:p>
        </w:tc>
        <w:tc>
          <w:tcPr>
            <w:tcW w:w="3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80D19A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F1-</w:t>
            </w:r>
          </w:p>
          <w:p w14:paraId="47F5DFBB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Score</w:t>
            </w:r>
          </w:p>
        </w:tc>
        <w:tc>
          <w:tcPr>
            <w:tcW w:w="57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94DA3B">
            <w:pPr>
              <w:pStyle w:val="34"/>
              <w:spacing w:line="360" w:lineRule="auto"/>
              <w:ind w:firstLine="0"/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bCs/>
                <w:color w:val="auto"/>
                <w:sz w:val="16"/>
                <w:szCs w:val="16"/>
                <w:highlight w:val="none"/>
                <w:lang w:eastAsia="zh-CN"/>
              </w:rPr>
              <w:t>KG Consistency</w:t>
            </w:r>
          </w:p>
        </w:tc>
      </w:tr>
      <w:tr w14:paraId="15725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5A0C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CLIP(finetuned)+GPT2</w:t>
            </w:r>
          </w:p>
        </w:tc>
        <w:tc>
          <w:tcPr>
            <w:tcW w:w="3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6A26E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0.0112</w:t>
            </w:r>
          </w:p>
        </w:tc>
        <w:tc>
          <w:tcPr>
            <w:tcW w:w="3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2142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0.0081</w:t>
            </w:r>
          </w:p>
        </w:tc>
        <w:tc>
          <w:tcPr>
            <w:tcW w:w="3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0BECDE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0.0059</w:t>
            </w:r>
          </w:p>
        </w:tc>
        <w:tc>
          <w:tcPr>
            <w:tcW w:w="3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ACC41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0.0071</w:t>
            </w:r>
          </w:p>
        </w:tc>
        <w:tc>
          <w:tcPr>
            <w:tcW w:w="4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A97A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0.1710</w:t>
            </w:r>
          </w:p>
        </w:tc>
        <w:tc>
          <w:tcPr>
            <w:tcW w:w="4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8CAC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0.1762</w:t>
            </w:r>
          </w:p>
        </w:tc>
        <w:tc>
          <w:tcPr>
            <w:tcW w:w="4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8A185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0.3058</w:t>
            </w:r>
          </w:p>
        </w:tc>
        <w:tc>
          <w:tcPr>
            <w:tcW w:w="3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921A3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0.0671</w:t>
            </w:r>
          </w:p>
        </w:tc>
        <w:tc>
          <w:tcPr>
            <w:tcW w:w="57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C5E80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0.6862</w:t>
            </w:r>
          </w:p>
        </w:tc>
      </w:tr>
      <w:tr w14:paraId="11E25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E5545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LLaVA-v1.5-7B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A1774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A2796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77FF1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4042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0.0098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F866A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0.2075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43FD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0.1227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2D35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0.1600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239D3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0.0801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1143D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0.2162</w:t>
            </w:r>
          </w:p>
        </w:tc>
      </w:tr>
      <w:tr w14:paraId="46695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7E5A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 xml:space="preserve">LLaVA-Med 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begin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instrText xml:space="preserve"> ADDIN EN.CITE &lt;EndNote&gt;&lt;Cite&gt;&lt;Author&gt;Li&lt;/Author&gt;&lt;Year&gt;2023&lt;/Year&gt;&lt;RecNum&gt;59&lt;/RecNum&gt;&lt;DisplayText&gt;[3]&lt;/DisplayText&gt;&lt;record&gt;&lt;rec-number&gt;59&lt;/rec-number&gt;&lt;foreign-keys&gt;&lt;key app="EN" db-id="vsdp925swrzvvvep0favrwa8r5esx90zx0sa" timestamp="1772347664"&gt;59&lt;/key&gt;&lt;/foreign-keys&gt;&lt;ref-type name="Journal Article"&gt;17&lt;/ref-type&gt;&lt;contributors&gt;&lt;authors&gt;&lt;author&gt;Li, Chunyuan&lt;/author&gt;&lt;author&gt;Wong, Cliff&lt;/author&gt;&lt;author&gt;Zhang, Sheng&lt;/author&gt;&lt;author&gt;Usuyama, Naoto&lt;/author&gt;&lt;author&gt;Liu, Haotian&lt;/author&gt;&lt;author&gt;Yang, Jianwei&lt;/author&gt;&lt;author&gt;Naumann, Tristan&lt;/author&gt;&lt;author&gt;Poon, Hoifung&lt;/author&gt;&lt;author&gt;Gao, Jianfeng&lt;/author&gt;&lt;/authors&gt;&lt;/contributors&gt;&lt;titles&gt;&lt;title&gt;Llava-med: Training a large language-and-vision assistant for biomedicine in one day&lt;/title&gt;&lt;secondary-title&gt;Advances in Neural Information Processing Systems&lt;/secondary-title&gt;&lt;/titles&gt;&lt;periodical&gt;&lt;full-title&gt;Advances in neural information processing systems&lt;/full-title&gt;&lt;/periodical&gt;&lt;pages&gt;28541-28564&lt;/pages&gt;&lt;volume&gt;36&lt;/volume&gt;&lt;dates&gt;&lt;year&gt;2023&lt;/year&gt;&lt;/dates&gt;&lt;urls&gt;&lt;/urls&gt;&lt;/record&gt;&lt;/Cite&gt;&lt;/EndNote&gt;</w:instrTex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separate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[3]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end"/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1FABA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0.0497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CA13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0.0362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1872F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BE580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0.0209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027A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0.2671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E2EC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0.1428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62EFD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0.1886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5627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0.8198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E94A5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0.1802</w:t>
            </w:r>
          </w:p>
        </w:tc>
      </w:tr>
      <w:tr w14:paraId="6C767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3A59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 xml:space="preserve">Gemini-2.5-Flash 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begin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instrText xml:space="preserve"> ADDIN EN.CITE &lt;EndNote&gt;&lt;Cite&gt;&lt;Author&gt;Comanici&lt;/Author&gt;&lt;Year&gt;2025&lt;/Year&gt;&lt;RecNum&gt;60&lt;/RecNum&gt;&lt;DisplayText&gt;[4]&lt;/DisplayText&gt;&lt;record&gt;&lt;rec-number&gt;60&lt;/rec-number&gt;&lt;foreign-keys&gt;&lt;key app="EN" db-id="vsdp925swrzvvvep0favrwa8r5esx90zx0sa" timestamp="1772347692"&gt;60&lt;/key&gt;&lt;/foreign-keys&gt;&lt;ref-type name="Journal Article"&gt;17&lt;/ref-type&gt;&lt;contributors&gt;&lt;authors&gt;&lt;author&gt;Comanici, Gheorghe&lt;/author&gt;&lt;author&gt;Bieber, Eric&lt;/author&gt;&lt;author&gt;Schaekermann, Mike&lt;/author&gt;&lt;author&gt;Pasupat, Ice&lt;/author&gt;&lt;author&gt;Sachdeva, Noveen&lt;/author&gt;&lt;author&gt;Dhillon, Inderjit&lt;/author&gt;&lt;author&gt;Blistein, Marcel&lt;/author&gt;&lt;author&gt;Ram, Ori&lt;/author&gt;&lt;author&gt;Zhang, Dan&lt;/author&gt;&lt;author&gt;Rosen, Evan %J arXiv preprint arXiv:.06261&lt;/author&gt;&lt;/authors&gt;&lt;/contributors&gt;&lt;titles&gt;&lt;title&gt;Gemini 2.5: Pushing the frontier with advanced reasoning, multimodality, long context, and next generation agentic capabilities&lt;/title&gt;&lt;/titles&gt;&lt;dates&gt;&lt;year&gt;2025&lt;/year&gt;&lt;/dates&gt;&lt;urls&gt;&lt;/urls&gt;&lt;/record&gt;&lt;/Cite&gt;&lt;/EndNote&gt;</w:instrTex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separate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[4]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end"/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044D1F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0.0599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F921A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0.0557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4C265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0.0501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2531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</w:rPr>
              <w:t>0.048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9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A6E41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0.0943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245F5E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0.0610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B9C59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0.0846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59DE4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0.7647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0D20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0.2353</w:t>
            </w:r>
          </w:p>
        </w:tc>
      </w:tr>
      <w:tr w14:paraId="5FF1B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DAE3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 xml:space="preserve">GPT-5 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begin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instrText xml:space="preserve"> ADDIN EN.CITE &lt;EndNote&gt;&lt;Cite&gt;&lt;Author&gt;Wang&lt;/Author&gt;&lt;Year&gt;2025&lt;/Year&gt;&lt;RecNum&gt;61&lt;/RecNum&gt;&lt;DisplayText&gt;[5]&lt;/DisplayText&gt;&lt;record&gt;&lt;rec-number&gt;61&lt;/rec-number&gt;&lt;foreign-keys&gt;&lt;key app="EN" db-id="vsdp925swrzvvvep0favrwa8r5esx90zx0sa" timestamp="1772347712"&gt;61&lt;/key&gt;&lt;/foreign-keys&gt;&lt;ref-type name="Journal Article"&gt;17&lt;/ref-type&gt;&lt;contributors&gt;&lt;authors&gt;&lt;author&gt;Wang, Shansong&lt;/author&gt;&lt;author&gt;Hu, Mingzhe&lt;/author&gt;&lt;author&gt;Li, Qiang&lt;/author&gt;&lt;author&gt;Safari, Mojtaba&lt;/author&gt;&lt;author&gt;Yang, Xiaofeng %J arXiv preprint arXiv:.08224&lt;/author&gt;&lt;/authors&gt;&lt;/contributors&gt;&lt;titles&gt;&lt;title&gt;Capabilities of gpt-5 on multimodal medical reasoning&lt;/title&gt;&lt;/titles&gt;&lt;dates&gt;&lt;year&gt;2025&lt;/year&gt;&lt;/dates&gt;&lt;urls&gt;&lt;/urls&gt;&lt;/record&gt;&lt;/Cite&gt;&lt;/EndNote&gt;</w:instrTex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separate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[5]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end"/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130E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DB4E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106F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4E270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0.0006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F98B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0.0281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25689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0.0123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5E862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0.0220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CA150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0.9011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5678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0.0989</w:t>
            </w:r>
          </w:p>
        </w:tc>
      </w:tr>
      <w:tr w14:paraId="37C16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1377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 xml:space="preserve">GLM-4v-plus-0111 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begin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instrText xml:space="preserve"> ADDIN EN.CITE &lt;EndNote&gt;&lt;Cite&gt;&lt;Author&gt;Hong&lt;/Author&gt;&lt;Year&gt;2025&lt;/Year&gt;&lt;RecNum&gt;62&lt;/RecNum&gt;&lt;DisplayText&gt;[6]&lt;/DisplayText&gt;&lt;record&gt;&lt;rec-number&gt;62&lt;/rec-number&gt;&lt;foreign-keys&gt;&lt;key app="EN" db-id="vsdp925swrzvvvep0favrwa8r5esx90zx0sa" timestamp="1772347727"&gt;62&lt;/key&gt;&lt;/foreign-keys&gt;&lt;ref-type name="Journal Article"&gt;17&lt;/ref-type&gt;&lt;contributors&gt;&lt;authors&gt;&lt;author&gt;Hong, Wenyi&lt;/author&gt;&lt;author&gt;Yu, Wenmeng&lt;/author&gt;&lt;author&gt;Gu, Xiaotao&lt;/author&gt;&lt;author&gt;Wang, Guo&lt;/author&gt;&lt;author&gt;Gan, Guobing&lt;/author&gt;&lt;author&gt;Tang, Haomiao&lt;/author&gt;&lt;author&gt;Cheng, Jiale&lt;/author&gt;&lt;author&gt;Qi, Ji&lt;/author&gt;&lt;author&gt;Ji, Junhui&lt;/author&gt;&lt;author&gt;Pan, Lihang %J arXiv preprint arXiv:.01006&lt;/author&gt;&lt;/authors&gt;&lt;/contributors&gt;&lt;titles&gt;&lt;title&gt;Glm-4.5 v and glm-4.1 v-thinking: Towards versatile multimodal reasoning with scalable reinforcement learning&lt;/title&gt;&lt;/titles&gt;&lt;dates&gt;&lt;year&gt;2025&lt;/year&gt;&lt;/dates&gt;&lt;urls&gt;&lt;/urls&gt;&lt;/record&gt;&lt;/Cite&gt;&lt;/EndNote&gt;</w:instrTex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separate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[6]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end"/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9D620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0.0323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87A2A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0.0250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396B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9D542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0.0159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6F23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0.1896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7B68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0.1099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2FA7F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0.1391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08141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0.7182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B470C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0.2818</w:t>
            </w:r>
          </w:p>
        </w:tc>
      </w:tr>
      <w:tr w14:paraId="06FF5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9F637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 xml:space="preserve">DeepSeek-V3.2 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begin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instrText xml:space="preserve"> ADDIN EN.CITE &lt;EndNote&gt;&lt;Cite&gt;&lt;Author&gt;Liu&lt;/Author&gt;&lt;Year&gt;2025&lt;/Year&gt;&lt;RecNum&gt;63&lt;/RecNum&gt;&lt;DisplayText&gt;[7]&lt;/DisplayText&gt;&lt;record&gt;&lt;rec-number&gt;63&lt;/rec-number&gt;&lt;foreign-keys&gt;&lt;key app="EN" db-id="vsdp925swrzvvvep0favrwa8r5esx90zx0sa" timestamp="1772347741"&gt;63&lt;/key&gt;&lt;/foreign-keys&gt;&lt;ref-type name="Journal Article"&gt;17&lt;/ref-type&gt;&lt;contributors&gt;&lt;authors&gt;&lt;author&gt;Liu, Aixin&lt;/author&gt;&lt;author&gt;Mei, Aoxue&lt;/author&gt;&lt;author&gt;Lin, Bangcai&lt;/author&gt;&lt;author&gt;Xue, Bing&lt;/author&gt;&lt;author&gt;Wang, Bingxuan&lt;/author&gt;&lt;author&gt;Xu, Bingzheng&lt;/author&gt;&lt;author&gt;Wu, Bochao&lt;/author&gt;&lt;author&gt;Zhang, Bowei&lt;/author&gt;&lt;author&gt;Lin, Chaofan&lt;/author&gt;&lt;author&gt;Dong, Chen %J arXiv preprint arXiv:.02556&lt;/author&gt;&lt;/authors&gt;&lt;/contributors&gt;&lt;titles&gt;&lt;title&gt;Deepseek-v3. 2: Pushing the frontier of open large language models&lt;/title&gt;&lt;/titles&gt;&lt;dates&gt;&lt;year&gt;2025&lt;/year&gt;&lt;/dates&gt;&lt;urls&gt;&lt;/urls&gt;&lt;/record&gt;&lt;/Cite&gt;&lt;/EndNote&gt;</w:instrTex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separate"/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[7]</w:t>
            </w: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fldChar w:fldCharType="end"/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E746FE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0.3563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B3BCA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0.2188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1931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0.1344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4C9F9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0.0870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52F86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oMath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0.4301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CE7E5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0.1641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90938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0.2028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378B1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0.2793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A05DB">
            <w:pPr>
              <w:pStyle w:val="34"/>
              <w:spacing w:line="360" w:lineRule="auto"/>
              <w:ind w:firstLine="0"/>
              <w:rPr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color w:val="auto"/>
                <w:sz w:val="16"/>
                <w:szCs w:val="16"/>
                <w:highlight w:val="none"/>
                <w:lang w:eastAsia="zh-CN"/>
              </w:rPr>
              <w:t>0.7068</w:t>
            </w:r>
          </w:p>
        </w:tc>
      </w:tr>
      <w:tr w14:paraId="7D55C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BCA723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Ours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64A067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0.4934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6A70ED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0.3975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7B216B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0.4333</w:t>
            </w:r>
          </w:p>
        </w:tc>
        <w:tc>
          <w:tcPr>
            <w:tcW w:w="3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BDE04F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0.5049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5319C2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0.5171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0FDFE6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0.6479</w:t>
            </w:r>
          </w:p>
        </w:tc>
        <w:tc>
          <w:tcPr>
            <w:tcW w:w="48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0D4BC7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0.7124</w:t>
            </w:r>
          </w:p>
        </w:tc>
        <w:tc>
          <w:tcPr>
            <w:tcW w:w="3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20E73D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0.8829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53CFBF">
            <w:pPr>
              <w:pStyle w:val="34"/>
              <w:spacing w:line="360" w:lineRule="auto"/>
              <w:ind w:firstLine="0"/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</w:pPr>
            <w:r>
              <w:rPr>
                <w:b/>
                <w:color w:val="auto"/>
                <w:sz w:val="16"/>
                <w:szCs w:val="16"/>
                <w:highlight w:val="none"/>
                <w:lang w:eastAsia="zh-CN"/>
              </w:rPr>
              <w:t>0.7094</w:t>
            </w:r>
          </w:p>
        </w:tc>
      </w:tr>
    </w:tbl>
    <w:p w14:paraId="5E0A18CB">
      <w:pPr>
        <w:widowControl/>
        <w:spacing w:line="360" w:lineRule="auto"/>
        <w:ind w:firstLine="0" w:firstLineChars="0"/>
        <w:jc w:val="left"/>
        <w:rPr>
          <w:rFonts w:ascii="Times New Roman" w:hAnsi="Times New Roman" w:eastAsia="楷体" w:cs="Times New Roman"/>
          <w:b/>
          <w:bCs/>
          <w:color w:val="auto"/>
          <w:sz w:val="22"/>
          <w:highlight w:val="none"/>
        </w:rPr>
      </w:pPr>
    </w:p>
    <w:p w14:paraId="44661437">
      <w:pPr>
        <w:widowControl/>
        <w:spacing w:line="360" w:lineRule="auto"/>
        <w:ind w:firstLine="0" w:firstLineChars="0"/>
        <w:jc w:val="left"/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</w:pP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br w:type="page"/>
      </w:r>
    </w:p>
    <w:p w14:paraId="1B224E1C">
      <w:pPr>
        <w:widowControl/>
        <w:spacing w:line="360" w:lineRule="auto"/>
        <w:ind w:firstLine="0" w:firstLineChars="0"/>
        <w:jc w:val="left"/>
        <w:rPr>
          <w:rFonts w:hint="eastAsia" w:ascii="等线" w:hAnsi="等线" w:eastAsia="等线"/>
          <w:color w:val="auto"/>
          <w:sz w:val="20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>R</w:t>
      </w:r>
      <w:r>
        <w:rPr>
          <w:rFonts w:ascii="Times New Roman" w:hAnsi="Times New Roman" w:eastAsia="楷体" w:cs="Times New Roman"/>
          <w:b/>
          <w:bCs/>
          <w:color w:val="auto"/>
          <w:sz w:val="28"/>
          <w:szCs w:val="28"/>
          <w:highlight w:val="none"/>
        </w:rPr>
        <w:t>eference</w:t>
      </w:r>
      <w:bookmarkStart w:id="2" w:name="_GoBack"/>
      <w:bookmarkEnd w:id="2"/>
    </w:p>
    <w:p w14:paraId="0E1B50A2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</w:rPr>
        <w:instrText xml:space="preserve"> ADDIN EN.REFLIST </w:instrTex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</w:rPr>
        <w:fldChar w:fldCharType="separate"/>
      </w:r>
      <w:r>
        <w:rPr>
          <w:rFonts w:hint="default" w:ascii="Times New Roman" w:hAnsi="Times New Roman" w:cs="Times New Roman"/>
          <w:color w:val="auto"/>
          <w:highlight w:val="none"/>
        </w:rPr>
        <w:t>[1]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C.-Y. Lin, "Rouge: A package for automatic evaluation of summaries," in 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>Text summarization branches out</w:t>
      </w:r>
      <w:r>
        <w:rPr>
          <w:rFonts w:hint="default" w:ascii="Times New Roman" w:hAnsi="Times New Roman" w:cs="Times New Roman"/>
          <w:color w:val="auto"/>
          <w:highlight w:val="none"/>
        </w:rPr>
        <w:t>, 2004, pp. 74-81.</w:t>
      </w:r>
    </w:p>
    <w:p w14:paraId="48F0FCC4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[2]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Q. Bai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 et al.</w:t>
      </w:r>
      <w:r>
        <w:rPr>
          <w:rFonts w:hint="default" w:ascii="Times New Roman" w:hAnsi="Times New Roman" w:cs="Times New Roman"/>
          <w:color w:val="auto"/>
          <w:highlight w:val="none"/>
        </w:rPr>
        <w:t>, "Multi-view contrastive learning and symptom extraction insights for medical report generation," vol. 15, no. 1, p. 17991, 2025.</w:t>
      </w:r>
    </w:p>
    <w:p w14:paraId="601DC198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[3]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C. Li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 et al.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, "Llava-med: Training a large language-and-vision assistant for biomedicine in one day," 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Advances in Neural Information Processing Systems, </w:t>
      </w:r>
      <w:r>
        <w:rPr>
          <w:rFonts w:hint="default" w:ascii="Times New Roman" w:hAnsi="Times New Roman" w:cs="Times New Roman"/>
          <w:color w:val="auto"/>
          <w:highlight w:val="none"/>
        </w:rPr>
        <w:t>vol. 36, pp. 28541-28564, 2023.</w:t>
      </w:r>
    </w:p>
    <w:p w14:paraId="7098CE9D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[4]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G. Comanici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 et al.</w:t>
      </w:r>
      <w:r>
        <w:rPr>
          <w:rFonts w:hint="default" w:ascii="Times New Roman" w:hAnsi="Times New Roman" w:cs="Times New Roman"/>
          <w:color w:val="auto"/>
          <w:highlight w:val="none"/>
        </w:rPr>
        <w:t>, "Gemini 2.5: Pushing the frontier with advanced reasoning, multimodality, long context, and next generation agentic capabilities," 2025.</w:t>
      </w:r>
    </w:p>
    <w:p w14:paraId="313B5A8B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[5]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S. Wang, M. Hu, Q. Li, M. Safari, and X. J. a. p. a. Yang, "Capabilities of gpt-5 on multimodal medical reasoning," 2025.</w:t>
      </w:r>
    </w:p>
    <w:p w14:paraId="4D0D4390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[6]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W. Hong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 et al.</w:t>
      </w:r>
      <w:r>
        <w:rPr>
          <w:rFonts w:hint="default" w:ascii="Times New Roman" w:hAnsi="Times New Roman" w:cs="Times New Roman"/>
          <w:color w:val="auto"/>
          <w:highlight w:val="none"/>
        </w:rPr>
        <w:t>, "Glm-4.5 v and glm-4.1 v-thinking: Towards versatile multimodal reasoning with scalable reinforcement learning," 2025.</w:t>
      </w:r>
    </w:p>
    <w:p w14:paraId="10E5C694">
      <w:pPr>
        <w:pStyle w:val="23"/>
        <w:ind w:left="720" w:hanging="7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[7]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A. Liu</w:t>
      </w:r>
      <w:r>
        <w:rPr>
          <w:rFonts w:hint="default" w:ascii="Times New Roman" w:hAnsi="Times New Roman" w:cs="Times New Roman"/>
          <w:i/>
          <w:color w:val="auto"/>
          <w:highlight w:val="none"/>
        </w:rPr>
        <w:t xml:space="preserve"> et al.</w:t>
      </w:r>
      <w:r>
        <w:rPr>
          <w:rFonts w:hint="default" w:ascii="Times New Roman" w:hAnsi="Times New Roman" w:cs="Times New Roman"/>
          <w:color w:val="auto"/>
          <w:highlight w:val="none"/>
        </w:rPr>
        <w:t>, "Deepseek-v3. 2: Pushing the frontier of open large language models," 2025.</w:t>
      </w:r>
    </w:p>
    <w:p w14:paraId="59FFD862">
      <w:pPr>
        <w:spacing w:line="360" w:lineRule="auto"/>
        <w:ind w:hanging="720" w:firstLineChars="0"/>
        <w:jc w:val="left"/>
        <w:rPr>
          <w:rFonts w:ascii="Times New Roman" w:hAnsi="Times New Roman" w:cs="Times New Roman"/>
          <w:color w:val="auto"/>
          <w:sz w:val="18"/>
          <w:szCs w:val="18"/>
          <w:highlight w:val="none"/>
        </w:rPr>
      </w:pPr>
      <w:r>
        <w:rPr>
          <w:rFonts w:ascii="Times New Roman" w:hAnsi="Times New Roman" w:cs="Times New Roman"/>
          <w:color w:val="auto"/>
          <w:kern w:val="0"/>
          <w:sz w:val="18"/>
          <w:szCs w:val="18"/>
          <w:highlight w:val="none"/>
        </w:rPr>
        <w:fldChar w:fldCharType="end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20206090402050803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BDC7B">
    <w:pPr>
      <w:pStyle w:val="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E3298">
    <w:pPr>
      <w:pStyle w:val="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050FC">
    <w:pPr>
      <w:pStyle w:val="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91123">
    <w:pPr>
      <w:pStyle w:val="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B2BE8">
    <w:pPr>
      <w:pStyle w:val="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57558">
    <w:pPr>
      <w:pStyle w:val="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CFD79"/>
    <w:multiLevelType w:val="singleLevel"/>
    <w:tmpl w:val="DF8CFD79"/>
    <w:lvl w:ilvl="0" w:tentative="0">
      <w:start w:val="1"/>
      <w:numFmt w:val="decimal"/>
      <w:suff w:val="space"/>
      <w:lvlText w:val="%1)"/>
      <w:lvlJc w:val="left"/>
      <w:rPr>
        <w:rFonts w:hint="default"/>
        <w:i/>
        <w:iCs/>
      </w:rPr>
    </w:lvl>
  </w:abstractNum>
  <w:abstractNum w:abstractNumId="1">
    <w:nsid w:val="6CD32DA8"/>
    <w:multiLevelType w:val="multilevel"/>
    <w:tmpl w:val="6CD32DA8"/>
    <w:lvl w:ilvl="0" w:tentative="0">
      <w:start w:val="1"/>
      <w:numFmt w:val="upperRoman"/>
      <w:pStyle w:val="32"/>
      <w:lvlText w:val="TABLE %1. "/>
      <w:lvlJc w:val="left"/>
      <w:pPr>
        <w:tabs>
          <w:tab w:val="left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sdp925swrzvvvep0favrwa8r5esx90zx0sa&quot;&gt;My EndNote Library&lt;record-ids&gt;&lt;item&gt;51&lt;/item&gt;&lt;item&gt;59&lt;/item&gt;&lt;item&gt;60&lt;/item&gt;&lt;item&gt;61&lt;/item&gt;&lt;item&gt;62&lt;/item&gt;&lt;item&gt;63&lt;/item&gt;&lt;item&gt;86&lt;/item&gt;&lt;/record-ids&gt;&lt;/item&gt;&lt;/Libraries&gt;"/>
  </w:docVars>
  <w:rsids>
    <w:rsidRoot w:val="001366D9"/>
    <w:rsid w:val="00015BAA"/>
    <w:rsid w:val="00016309"/>
    <w:rsid w:val="000218C8"/>
    <w:rsid w:val="0002496A"/>
    <w:rsid w:val="00024D67"/>
    <w:rsid w:val="0002570F"/>
    <w:rsid w:val="000268D5"/>
    <w:rsid w:val="00027B02"/>
    <w:rsid w:val="0003628A"/>
    <w:rsid w:val="00037DD3"/>
    <w:rsid w:val="00053117"/>
    <w:rsid w:val="0006604A"/>
    <w:rsid w:val="00093EA2"/>
    <w:rsid w:val="000B78B1"/>
    <w:rsid w:val="000C5E73"/>
    <w:rsid w:val="000C7E4E"/>
    <w:rsid w:val="000D5703"/>
    <w:rsid w:val="000E3634"/>
    <w:rsid w:val="000E40BA"/>
    <w:rsid w:val="00123058"/>
    <w:rsid w:val="00127954"/>
    <w:rsid w:val="001366D9"/>
    <w:rsid w:val="00137B79"/>
    <w:rsid w:val="00141479"/>
    <w:rsid w:val="00153E39"/>
    <w:rsid w:val="001672F9"/>
    <w:rsid w:val="00173179"/>
    <w:rsid w:val="001735DC"/>
    <w:rsid w:val="00175887"/>
    <w:rsid w:val="0018534E"/>
    <w:rsid w:val="00185442"/>
    <w:rsid w:val="001A1C3B"/>
    <w:rsid w:val="001B410A"/>
    <w:rsid w:val="001C55C7"/>
    <w:rsid w:val="001D1BF0"/>
    <w:rsid w:val="001D1F86"/>
    <w:rsid w:val="001D258B"/>
    <w:rsid w:val="001D6BC0"/>
    <w:rsid w:val="001F1655"/>
    <w:rsid w:val="001F1CCF"/>
    <w:rsid w:val="001F5BCA"/>
    <w:rsid w:val="002059EF"/>
    <w:rsid w:val="00211D11"/>
    <w:rsid w:val="00214F34"/>
    <w:rsid w:val="0022064A"/>
    <w:rsid w:val="00221F01"/>
    <w:rsid w:val="00222934"/>
    <w:rsid w:val="002311D3"/>
    <w:rsid w:val="00254986"/>
    <w:rsid w:val="00257C06"/>
    <w:rsid w:val="00264168"/>
    <w:rsid w:val="00277711"/>
    <w:rsid w:val="00284A3C"/>
    <w:rsid w:val="00291B55"/>
    <w:rsid w:val="002A537B"/>
    <w:rsid w:val="002B440A"/>
    <w:rsid w:val="002C0F26"/>
    <w:rsid w:val="002C47E6"/>
    <w:rsid w:val="002D1172"/>
    <w:rsid w:val="002D5D5C"/>
    <w:rsid w:val="002F568E"/>
    <w:rsid w:val="002F58CC"/>
    <w:rsid w:val="00305217"/>
    <w:rsid w:val="003106FA"/>
    <w:rsid w:val="003119D7"/>
    <w:rsid w:val="00321AC2"/>
    <w:rsid w:val="00322C49"/>
    <w:rsid w:val="00323D3B"/>
    <w:rsid w:val="00326338"/>
    <w:rsid w:val="00326778"/>
    <w:rsid w:val="00326AE3"/>
    <w:rsid w:val="003274FC"/>
    <w:rsid w:val="00330EF0"/>
    <w:rsid w:val="00333B57"/>
    <w:rsid w:val="00343098"/>
    <w:rsid w:val="0034383B"/>
    <w:rsid w:val="003457FF"/>
    <w:rsid w:val="00350897"/>
    <w:rsid w:val="003516B7"/>
    <w:rsid w:val="00355E6B"/>
    <w:rsid w:val="00362E49"/>
    <w:rsid w:val="00365333"/>
    <w:rsid w:val="0036775E"/>
    <w:rsid w:val="003745DE"/>
    <w:rsid w:val="00384A6B"/>
    <w:rsid w:val="003908F6"/>
    <w:rsid w:val="003A22F6"/>
    <w:rsid w:val="003B4B83"/>
    <w:rsid w:val="003B6134"/>
    <w:rsid w:val="003C650F"/>
    <w:rsid w:val="003E1A28"/>
    <w:rsid w:val="003F4920"/>
    <w:rsid w:val="003F618D"/>
    <w:rsid w:val="00416978"/>
    <w:rsid w:val="00443071"/>
    <w:rsid w:val="0045025E"/>
    <w:rsid w:val="00452F0B"/>
    <w:rsid w:val="00473830"/>
    <w:rsid w:val="00477455"/>
    <w:rsid w:val="0048762C"/>
    <w:rsid w:val="004A002B"/>
    <w:rsid w:val="004A6408"/>
    <w:rsid w:val="004B1097"/>
    <w:rsid w:val="004C0180"/>
    <w:rsid w:val="004D7308"/>
    <w:rsid w:val="004E0DB2"/>
    <w:rsid w:val="0050095D"/>
    <w:rsid w:val="00501419"/>
    <w:rsid w:val="00501B40"/>
    <w:rsid w:val="00531D33"/>
    <w:rsid w:val="0053319C"/>
    <w:rsid w:val="00546F2C"/>
    <w:rsid w:val="005568C0"/>
    <w:rsid w:val="00572943"/>
    <w:rsid w:val="00574B4F"/>
    <w:rsid w:val="005763CD"/>
    <w:rsid w:val="005A039A"/>
    <w:rsid w:val="005A431E"/>
    <w:rsid w:val="005B7DF3"/>
    <w:rsid w:val="005C55EC"/>
    <w:rsid w:val="005D097F"/>
    <w:rsid w:val="005F73CD"/>
    <w:rsid w:val="00600815"/>
    <w:rsid w:val="00606A34"/>
    <w:rsid w:val="00611821"/>
    <w:rsid w:val="006142B9"/>
    <w:rsid w:val="0062190C"/>
    <w:rsid w:val="00633FD0"/>
    <w:rsid w:val="00640A65"/>
    <w:rsid w:val="006416BE"/>
    <w:rsid w:val="00653405"/>
    <w:rsid w:val="0066275F"/>
    <w:rsid w:val="00662F30"/>
    <w:rsid w:val="0066338F"/>
    <w:rsid w:val="00673616"/>
    <w:rsid w:val="00680823"/>
    <w:rsid w:val="00684465"/>
    <w:rsid w:val="00691F3E"/>
    <w:rsid w:val="00696A41"/>
    <w:rsid w:val="006A3BE8"/>
    <w:rsid w:val="006B1492"/>
    <w:rsid w:val="006B6D58"/>
    <w:rsid w:val="006E4433"/>
    <w:rsid w:val="006E7892"/>
    <w:rsid w:val="006F4F6E"/>
    <w:rsid w:val="007132DC"/>
    <w:rsid w:val="00713728"/>
    <w:rsid w:val="007215DC"/>
    <w:rsid w:val="0072394C"/>
    <w:rsid w:val="00723CE9"/>
    <w:rsid w:val="00725BAD"/>
    <w:rsid w:val="007301D2"/>
    <w:rsid w:val="00730991"/>
    <w:rsid w:val="00737C0B"/>
    <w:rsid w:val="0074518C"/>
    <w:rsid w:val="0076746F"/>
    <w:rsid w:val="00771082"/>
    <w:rsid w:val="00773D51"/>
    <w:rsid w:val="0078175F"/>
    <w:rsid w:val="00781B4A"/>
    <w:rsid w:val="00792728"/>
    <w:rsid w:val="007C3ED1"/>
    <w:rsid w:val="007C7C48"/>
    <w:rsid w:val="007D18D1"/>
    <w:rsid w:val="007D19C6"/>
    <w:rsid w:val="007D20BE"/>
    <w:rsid w:val="007D611E"/>
    <w:rsid w:val="007F5569"/>
    <w:rsid w:val="007F7069"/>
    <w:rsid w:val="00800A15"/>
    <w:rsid w:val="00812045"/>
    <w:rsid w:val="00820047"/>
    <w:rsid w:val="00834470"/>
    <w:rsid w:val="00854D97"/>
    <w:rsid w:val="0086101A"/>
    <w:rsid w:val="00864596"/>
    <w:rsid w:val="00871776"/>
    <w:rsid w:val="00873A85"/>
    <w:rsid w:val="00883AC6"/>
    <w:rsid w:val="00886806"/>
    <w:rsid w:val="00891820"/>
    <w:rsid w:val="008958D9"/>
    <w:rsid w:val="008C5DC8"/>
    <w:rsid w:val="008D731F"/>
    <w:rsid w:val="008F1617"/>
    <w:rsid w:val="008F32F5"/>
    <w:rsid w:val="00906609"/>
    <w:rsid w:val="00915F07"/>
    <w:rsid w:val="0091705B"/>
    <w:rsid w:val="00921DBF"/>
    <w:rsid w:val="00923EF7"/>
    <w:rsid w:val="00927667"/>
    <w:rsid w:val="009322FB"/>
    <w:rsid w:val="0093663B"/>
    <w:rsid w:val="00937598"/>
    <w:rsid w:val="00972725"/>
    <w:rsid w:val="00973647"/>
    <w:rsid w:val="00974AAE"/>
    <w:rsid w:val="00975063"/>
    <w:rsid w:val="009753B7"/>
    <w:rsid w:val="00985D84"/>
    <w:rsid w:val="009944FD"/>
    <w:rsid w:val="00995483"/>
    <w:rsid w:val="00996889"/>
    <w:rsid w:val="009A20DB"/>
    <w:rsid w:val="009A7380"/>
    <w:rsid w:val="009B2723"/>
    <w:rsid w:val="009C3A57"/>
    <w:rsid w:val="009C5C9D"/>
    <w:rsid w:val="009D04D8"/>
    <w:rsid w:val="009E3281"/>
    <w:rsid w:val="009E43B2"/>
    <w:rsid w:val="009F0F8C"/>
    <w:rsid w:val="009F5445"/>
    <w:rsid w:val="00A21EF5"/>
    <w:rsid w:val="00A453F4"/>
    <w:rsid w:val="00A45494"/>
    <w:rsid w:val="00A477F4"/>
    <w:rsid w:val="00A731F9"/>
    <w:rsid w:val="00A81955"/>
    <w:rsid w:val="00A85F52"/>
    <w:rsid w:val="00AA1C59"/>
    <w:rsid w:val="00AA5FB0"/>
    <w:rsid w:val="00AB0142"/>
    <w:rsid w:val="00AB15A3"/>
    <w:rsid w:val="00AB38F9"/>
    <w:rsid w:val="00AC1B24"/>
    <w:rsid w:val="00AD576C"/>
    <w:rsid w:val="00AD66D9"/>
    <w:rsid w:val="00AD7D13"/>
    <w:rsid w:val="00AF6606"/>
    <w:rsid w:val="00B00D6C"/>
    <w:rsid w:val="00B03D3F"/>
    <w:rsid w:val="00B20C77"/>
    <w:rsid w:val="00B30D4B"/>
    <w:rsid w:val="00B310BA"/>
    <w:rsid w:val="00B3215F"/>
    <w:rsid w:val="00B33E04"/>
    <w:rsid w:val="00B403E6"/>
    <w:rsid w:val="00B41B33"/>
    <w:rsid w:val="00B456AC"/>
    <w:rsid w:val="00B54958"/>
    <w:rsid w:val="00B62126"/>
    <w:rsid w:val="00B6764A"/>
    <w:rsid w:val="00B742FB"/>
    <w:rsid w:val="00B80A29"/>
    <w:rsid w:val="00B8461F"/>
    <w:rsid w:val="00B90E79"/>
    <w:rsid w:val="00B91CA2"/>
    <w:rsid w:val="00B936AE"/>
    <w:rsid w:val="00BA0D4C"/>
    <w:rsid w:val="00BB2316"/>
    <w:rsid w:val="00BC5AD4"/>
    <w:rsid w:val="00BE0AFD"/>
    <w:rsid w:val="00BF4A83"/>
    <w:rsid w:val="00C045B8"/>
    <w:rsid w:val="00C1776C"/>
    <w:rsid w:val="00C32B40"/>
    <w:rsid w:val="00C4769B"/>
    <w:rsid w:val="00C541A4"/>
    <w:rsid w:val="00C57DBB"/>
    <w:rsid w:val="00C71642"/>
    <w:rsid w:val="00C81263"/>
    <w:rsid w:val="00CA3B9E"/>
    <w:rsid w:val="00CB3942"/>
    <w:rsid w:val="00CC3576"/>
    <w:rsid w:val="00CD2A92"/>
    <w:rsid w:val="00CD606C"/>
    <w:rsid w:val="00CE4C59"/>
    <w:rsid w:val="00D00FF4"/>
    <w:rsid w:val="00D02802"/>
    <w:rsid w:val="00D06365"/>
    <w:rsid w:val="00D37FE5"/>
    <w:rsid w:val="00D4599A"/>
    <w:rsid w:val="00D53240"/>
    <w:rsid w:val="00D66867"/>
    <w:rsid w:val="00D849E9"/>
    <w:rsid w:val="00DA2B04"/>
    <w:rsid w:val="00DA2F91"/>
    <w:rsid w:val="00DA762A"/>
    <w:rsid w:val="00DB1158"/>
    <w:rsid w:val="00DD2702"/>
    <w:rsid w:val="00DD3947"/>
    <w:rsid w:val="00DE5F2B"/>
    <w:rsid w:val="00DF0BFE"/>
    <w:rsid w:val="00DF6EA8"/>
    <w:rsid w:val="00E07F7A"/>
    <w:rsid w:val="00E21413"/>
    <w:rsid w:val="00E22B8A"/>
    <w:rsid w:val="00E242FC"/>
    <w:rsid w:val="00E303C0"/>
    <w:rsid w:val="00E322BB"/>
    <w:rsid w:val="00E43BE1"/>
    <w:rsid w:val="00E556F4"/>
    <w:rsid w:val="00E719EC"/>
    <w:rsid w:val="00E76D72"/>
    <w:rsid w:val="00E83148"/>
    <w:rsid w:val="00E935F7"/>
    <w:rsid w:val="00EA5836"/>
    <w:rsid w:val="00EB6CF9"/>
    <w:rsid w:val="00EC461F"/>
    <w:rsid w:val="00ED1E7C"/>
    <w:rsid w:val="00ED3E6B"/>
    <w:rsid w:val="00EE3B75"/>
    <w:rsid w:val="00EF10E0"/>
    <w:rsid w:val="00EF50C9"/>
    <w:rsid w:val="00EF723E"/>
    <w:rsid w:val="00F023D4"/>
    <w:rsid w:val="00F10F81"/>
    <w:rsid w:val="00F11764"/>
    <w:rsid w:val="00F15088"/>
    <w:rsid w:val="00F42FC2"/>
    <w:rsid w:val="00F42FFA"/>
    <w:rsid w:val="00F4375C"/>
    <w:rsid w:val="00F43FBF"/>
    <w:rsid w:val="00F62A08"/>
    <w:rsid w:val="00F64613"/>
    <w:rsid w:val="00F64E18"/>
    <w:rsid w:val="00F72B8A"/>
    <w:rsid w:val="00F76D88"/>
    <w:rsid w:val="00F8230B"/>
    <w:rsid w:val="00F863CF"/>
    <w:rsid w:val="00FA09F1"/>
    <w:rsid w:val="00FB25C8"/>
    <w:rsid w:val="00FD0B81"/>
    <w:rsid w:val="00FF04F3"/>
    <w:rsid w:val="02985C5F"/>
    <w:rsid w:val="04020397"/>
    <w:rsid w:val="06895EE4"/>
    <w:rsid w:val="10591C96"/>
    <w:rsid w:val="20236CCA"/>
    <w:rsid w:val="242C5CB8"/>
    <w:rsid w:val="284F1FD1"/>
    <w:rsid w:val="29633E86"/>
    <w:rsid w:val="2A3C0081"/>
    <w:rsid w:val="2BD92CF9"/>
    <w:rsid w:val="30437116"/>
    <w:rsid w:val="3F7E18C4"/>
    <w:rsid w:val="40990887"/>
    <w:rsid w:val="480265EF"/>
    <w:rsid w:val="529842AD"/>
    <w:rsid w:val="55850FB5"/>
    <w:rsid w:val="5BF62AB6"/>
    <w:rsid w:val="5D912FBB"/>
    <w:rsid w:val="65355CF3"/>
    <w:rsid w:val="742D6E39"/>
    <w:rsid w:val="74967468"/>
    <w:rsid w:val="7503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4"/>
    <w:unhideWhenUsed/>
    <w:qFormat/>
    <w:uiPriority w:val="0"/>
    <w:pPr>
      <w:keepNext/>
      <w:keepLines/>
      <w:spacing w:before="120" w:after="120" w:line="415" w:lineRule="auto"/>
      <w:ind w:firstLine="0" w:firstLineChars="0"/>
      <w:outlineLvl w:val="2"/>
    </w:pPr>
    <w:rPr>
      <w:rFonts w:eastAsiaTheme="minorEastAsia"/>
      <w:b/>
      <w:bCs/>
      <w:sz w:val="24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4">
    <w:name w:val="Body Text"/>
    <w:basedOn w:val="1"/>
    <w:qFormat/>
    <w:uiPriority w:val="0"/>
    <w:pPr>
      <w:tabs>
        <w:tab w:val="left" w:pos="288"/>
      </w:tabs>
      <w:spacing w:after="120" w:line="228" w:lineRule="auto"/>
      <w:ind w:firstLine="288"/>
    </w:pPr>
    <w:rPr>
      <w:spacing w:val="-1"/>
      <w:lang w:val="zh-CN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3 字符"/>
    <w:basedOn w:val="11"/>
    <w:link w:val="2"/>
    <w:qFormat/>
    <w:uiPriority w:val="0"/>
    <w:rPr>
      <w:b/>
      <w:bCs/>
      <w:sz w:val="24"/>
      <w:szCs w:val="32"/>
      <w14:ligatures w14:val="none"/>
    </w:rPr>
  </w:style>
  <w:style w:type="character" w:customStyle="1" w:styleId="15">
    <w:name w:val="页眉 字符"/>
    <w:basedOn w:val="11"/>
    <w:link w:val="6"/>
    <w:qFormat/>
    <w:uiPriority w:val="99"/>
    <w:rPr>
      <w:rFonts w:eastAsia="宋体"/>
      <w:sz w:val="18"/>
      <w:szCs w:val="18"/>
      <w14:ligatures w14:val="none"/>
    </w:rPr>
  </w:style>
  <w:style w:type="character" w:customStyle="1" w:styleId="16">
    <w:name w:val="页脚 字符"/>
    <w:basedOn w:val="11"/>
    <w:link w:val="5"/>
    <w:qFormat/>
    <w:uiPriority w:val="99"/>
    <w:rPr>
      <w:rFonts w:eastAsia="宋体"/>
      <w:sz w:val="18"/>
      <w:szCs w:val="18"/>
      <w14:ligatures w14:val="none"/>
    </w:rPr>
  </w:style>
  <w:style w:type="paragraph" w:styleId="17">
    <w:name w:val="List Paragraph"/>
    <w:basedOn w:val="1"/>
    <w:qFormat/>
    <w:uiPriority w:val="34"/>
    <w:pPr>
      <w:ind w:firstLine="420"/>
    </w:pPr>
  </w:style>
  <w:style w:type="character" w:styleId="18">
    <w:name w:val="Placeholder Text"/>
    <w:basedOn w:val="11"/>
    <w:semiHidden/>
    <w:qFormat/>
    <w:uiPriority w:val="99"/>
    <w:rPr>
      <w:color w:val="808080"/>
    </w:rPr>
  </w:style>
  <w:style w:type="character" w:customStyle="1" w:styleId="19">
    <w:name w:val="批注文字 字符"/>
    <w:basedOn w:val="11"/>
    <w:link w:val="3"/>
    <w:semiHidden/>
    <w:qFormat/>
    <w:uiPriority w:val="99"/>
    <w:rPr>
      <w:rFonts w:eastAsia="宋体"/>
      <w14:ligatures w14:val="none"/>
    </w:rPr>
  </w:style>
  <w:style w:type="character" w:customStyle="1" w:styleId="20">
    <w:name w:val="批注主题 字符"/>
    <w:basedOn w:val="19"/>
    <w:link w:val="8"/>
    <w:semiHidden/>
    <w:qFormat/>
    <w:uiPriority w:val="99"/>
    <w:rPr>
      <w:rFonts w:eastAsia="宋体"/>
      <w:b/>
      <w:bCs/>
      <w14:ligatures w14:val="none"/>
    </w:rPr>
  </w:style>
  <w:style w:type="paragraph" w:customStyle="1" w:styleId="21">
    <w:name w:val="EndNote Bibliography Title"/>
    <w:basedOn w:val="1"/>
    <w:link w:val="22"/>
    <w:qFormat/>
    <w:uiPriority w:val="0"/>
    <w:pPr>
      <w:jc w:val="center"/>
    </w:pPr>
    <w:rPr>
      <w:rFonts w:hint="eastAsia" w:ascii="等线" w:hAnsi="等线" w:eastAsia="等线" w:cs="等线"/>
      <w:sz w:val="20"/>
    </w:rPr>
  </w:style>
  <w:style w:type="character" w:customStyle="1" w:styleId="22">
    <w:name w:val="EndNote Bibliography Title 字符"/>
    <w:basedOn w:val="11"/>
    <w:link w:val="21"/>
    <w:qFormat/>
    <w:uiPriority w:val="0"/>
    <w:rPr>
      <w:rFonts w:hint="eastAsia" w:ascii="等线" w:hAnsi="等线" w:eastAsia="等线" w:cs="等线"/>
      <w:sz w:val="20"/>
      <w14:ligatures w14:val="none"/>
    </w:rPr>
  </w:style>
  <w:style w:type="paragraph" w:customStyle="1" w:styleId="23">
    <w:name w:val="EndNote Bibliography"/>
    <w:basedOn w:val="1"/>
    <w:link w:val="24"/>
    <w:qFormat/>
    <w:uiPriority w:val="0"/>
    <w:rPr>
      <w:rFonts w:hint="eastAsia" w:ascii="等线" w:hAnsi="等线" w:eastAsia="等线" w:cs="等线"/>
      <w:sz w:val="20"/>
    </w:rPr>
  </w:style>
  <w:style w:type="character" w:customStyle="1" w:styleId="24">
    <w:name w:val="EndNote Bibliography 字符"/>
    <w:basedOn w:val="11"/>
    <w:link w:val="23"/>
    <w:qFormat/>
    <w:uiPriority w:val="0"/>
    <w:rPr>
      <w:rFonts w:hint="eastAsia" w:ascii="等线" w:hAnsi="等线" w:eastAsia="等线" w:cs="等线"/>
      <w:sz w:val="20"/>
      <w14:ligatures w14:val="none"/>
    </w:rPr>
  </w:style>
  <w:style w:type="character" w:customStyle="1" w:styleId="25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Ack Text"/>
    <w:basedOn w:val="1"/>
    <w:qFormat/>
    <w:uiPriority w:val="0"/>
    <w:pPr>
      <w:widowControl/>
      <w:spacing w:line="220" w:lineRule="exact"/>
      <w:ind w:firstLine="0" w:firstLineChars="0"/>
    </w:pPr>
    <w:rPr>
      <w:rFonts w:ascii="Times New Roman" w:hAnsi="Times New Roman" w:cs="Times New Roman" w:eastAsiaTheme="minorEastAsia"/>
      <w:kern w:val="0"/>
      <w:sz w:val="18"/>
      <w:szCs w:val="20"/>
      <w:lang w:eastAsia="en-US"/>
    </w:rPr>
  </w:style>
  <w:style w:type="character" w:customStyle="1" w:styleId="27">
    <w:name w:val="katex-mathml"/>
    <w:basedOn w:val="11"/>
    <w:qFormat/>
    <w:uiPriority w:val="0"/>
  </w:style>
  <w:style w:type="character" w:customStyle="1" w:styleId="28">
    <w:name w:val="mord"/>
    <w:basedOn w:val="11"/>
    <w:qFormat/>
    <w:uiPriority w:val="0"/>
  </w:style>
  <w:style w:type="character" w:customStyle="1" w:styleId="29">
    <w:name w:val="vlist-s"/>
    <w:basedOn w:val="11"/>
    <w:qFormat/>
    <w:uiPriority w:val="0"/>
  </w:style>
  <w:style w:type="character" w:customStyle="1" w:styleId="30">
    <w:name w:val="mopen"/>
    <w:basedOn w:val="11"/>
    <w:qFormat/>
    <w:uiPriority w:val="0"/>
  </w:style>
  <w:style w:type="character" w:customStyle="1" w:styleId="31">
    <w:name w:val="mclose"/>
    <w:basedOn w:val="11"/>
    <w:qFormat/>
    <w:uiPriority w:val="0"/>
  </w:style>
  <w:style w:type="paragraph" w:customStyle="1" w:styleId="32">
    <w:name w:val="table head"/>
    <w:qFormat/>
    <w:uiPriority w:val="0"/>
    <w:pPr>
      <w:numPr>
        <w:ilvl w:val="0"/>
        <w:numId w:val="1"/>
      </w:numPr>
      <w:spacing w:before="240" w:after="120" w:line="216" w:lineRule="auto"/>
      <w:jc w:val="center"/>
    </w:pPr>
    <w:rPr>
      <w:rFonts w:ascii="Times New Roman" w:hAnsi="Times New Roman" w:eastAsia="宋体" w:cs="Times New Roman"/>
      <w:smallCaps/>
      <w:sz w:val="16"/>
      <w:szCs w:val="16"/>
      <w:lang w:val="en-US" w:eastAsia="en-US" w:bidi="ar-SA"/>
    </w:rPr>
  </w:style>
  <w:style w:type="paragraph" w:customStyle="1" w:styleId="33">
    <w:name w:val="equation"/>
    <w:basedOn w:val="1"/>
    <w:qFormat/>
    <w:uiPriority w:val="0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34">
    <w:name w:val="Els-body-text"/>
    <w:qFormat/>
    <w:uiPriority w:val="0"/>
    <w:pPr>
      <w:spacing w:line="240" w:lineRule="exact"/>
      <w:ind w:firstLine="238"/>
      <w:jc w:val="both"/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35">
    <w:name w:val="Els-caption"/>
    <w:qFormat/>
    <w:uiPriority w:val="0"/>
    <w:pPr>
      <w:keepLines/>
      <w:spacing w:before="200" w:after="240" w:line="200" w:lineRule="exact"/>
    </w:pPr>
    <w:rPr>
      <w:rFonts w:ascii="Times New Roman" w:hAnsi="Times New Roman" w:eastAsia="宋体" w:cs="Times New Roman"/>
      <w:sz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16DE7-40B2-440E-8074-29EB77620A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1251</Words>
  <Characters>7996</Characters>
  <Lines>508</Lines>
  <Paragraphs>382</Paragraphs>
  <TotalTime>6</TotalTime>
  <ScaleCrop>false</ScaleCrop>
  <LinksUpToDate>false</LinksUpToDate>
  <CharactersWithSpaces>9023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2026-06-24T02:24:00Z</dcterms:created>
  <dc:creator>辰辰 商</dc:creator>
  <cp:lastModifiedBy>MJ-Li</cp:lastModifiedBy>
  <dcterms:modified xsi:type="dcterms:W3CDTF">2026-06-30T14:38:55Z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eyJoZGlkIjoiMjk1Y2Y2ZTBlOGVlMmVkZWVmNTIyNmYyOWQyZWIxNTMiLCJ1c2VySWQiOiIxMTM4NDAzNDA3In0=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997704802311463CB3FDD9284A3CFDFE_13</vt:lpwstr>
  </property>
</Properties>
</file>