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48EA6">
      <w:pPr>
        <w:jc w:val="center"/>
        <w:rPr>
          <w:rFonts w:hint="eastAsia"/>
          <w:b/>
          <w:bCs/>
          <w:sz w:val="32"/>
          <w:szCs w:val="32"/>
          <w:lang w:val="en-US" w:eastAsia="zh-CN"/>
        </w:rPr>
      </w:pPr>
      <w:r>
        <w:rPr>
          <w:rFonts w:hint="eastAsia"/>
          <w:b/>
          <w:bCs/>
          <w:sz w:val="32"/>
          <w:szCs w:val="32"/>
          <w:lang w:val="en-US" w:eastAsia="zh-CN"/>
        </w:rPr>
        <w:t>项目设计报告</w:t>
      </w:r>
    </w:p>
    <w:p w14:paraId="3A27E0D2">
      <w:pPr>
        <w:jc w:val="both"/>
        <w:rPr>
          <w:rFonts w:hint="eastAsia"/>
          <w:b/>
          <w:bCs/>
          <w:sz w:val="24"/>
          <w:szCs w:val="24"/>
          <w:lang w:val="en-US" w:eastAsia="zh-CN"/>
        </w:rPr>
      </w:pPr>
      <w:r>
        <w:rPr>
          <w:rFonts w:hint="eastAsia"/>
          <w:b/>
          <w:bCs/>
          <w:sz w:val="24"/>
          <w:szCs w:val="24"/>
          <w:lang w:val="en-US" w:eastAsia="zh-CN"/>
        </w:rPr>
        <w:t>摘要</w:t>
      </w:r>
    </w:p>
    <w:p w14:paraId="7962CED3">
      <w:pPr>
        <w:ind w:firstLine="420" w:firstLineChars="0"/>
        <w:jc w:val="both"/>
        <w:rPr>
          <w:rFonts w:ascii="宋体" w:hAnsi="宋体" w:eastAsia="宋体" w:cs="宋体"/>
          <w:sz w:val="24"/>
          <w:szCs w:val="24"/>
        </w:rPr>
      </w:pPr>
      <w:r>
        <w:rPr>
          <w:rFonts w:ascii="宋体" w:hAnsi="宋体" w:eastAsia="宋体" w:cs="宋体"/>
          <w:sz w:val="24"/>
          <w:szCs w:val="24"/>
        </w:rPr>
        <w:t>本项目围绕图像信源在有噪声信道中的传输问题，搭建了一个包含信源编码、信道编码、调制、AWGN 信道、解调、译码与恢复质量评价的全链路 MATLAB 仿真系统。</w:t>
      </w:r>
    </w:p>
    <w:p w14:paraId="0BC92569">
      <w:pPr>
        <w:jc w:val="both"/>
        <w:rPr>
          <w:rFonts w:hint="default"/>
          <w:sz w:val="24"/>
          <w:szCs w:val="24"/>
          <w:lang w:val="en-US" w:eastAsia="zh-CN"/>
        </w:rPr>
      </w:pPr>
    </w:p>
    <w:p w14:paraId="5D5CA884">
      <w:pPr>
        <w:jc w:val="both"/>
        <w:rPr>
          <w:rFonts w:hint="eastAsia"/>
          <w:b/>
          <w:bCs/>
          <w:sz w:val="24"/>
          <w:szCs w:val="24"/>
          <w:lang w:val="en-US" w:eastAsia="zh-CN"/>
        </w:rPr>
      </w:pPr>
      <w:r>
        <w:rPr>
          <w:rFonts w:hint="eastAsia"/>
          <w:b/>
          <w:bCs/>
          <w:sz w:val="24"/>
          <w:szCs w:val="24"/>
          <w:lang w:val="en-US" w:eastAsia="zh-CN"/>
        </w:rPr>
        <w:t>一、项目背景和目标</w:t>
      </w:r>
    </w:p>
    <w:p w14:paraId="368D932A">
      <w:pPr>
        <w:ind w:firstLine="420" w:firstLineChars="0"/>
        <w:jc w:val="both"/>
        <w:rPr>
          <w:rFonts w:hint="default"/>
          <w:sz w:val="24"/>
          <w:szCs w:val="24"/>
          <w:lang w:val="en-US" w:eastAsia="zh-CN"/>
        </w:rPr>
      </w:pPr>
      <w:r>
        <w:rPr>
          <w:rFonts w:hint="default"/>
          <w:sz w:val="24"/>
          <w:szCs w:val="24"/>
          <w:lang w:val="en-US" w:eastAsia="zh-CN"/>
        </w:rPr>
        <w:t>在实际通信系统中，信源编码和信道编码承担着不同但相互制约的功能。信源编码的目标是去除冗余、压缩数据，提高传输效率；信道编码的目标则是加入冗余，提高系统在噪声信道中的可靠性。</w:t>
      </w:r>
    </w:p>
    <w:p w14:paraId="284948ED">
      <w:pPr>
        <w:ind w:firstLine="420" w:firstLineChars="0"/>
        <w:jc w:val="both"/>
        <w:rPr>
          <w:rFonts w:hint="eastAsia" w:eastAsia="宋体"/>
          <w:sz w:val="24"/>
          <w:szCs w:val="24"/>
          <w:lang w:val="en-US" w:eastAsia="zh-CN"/>
        </w:rPr>
      </w:pPr>
      <w:r>
        <w:rPr>
          <w:rFonts w:hint="default"/>
          <w:sz w:val="24"/>
          <w:szCs w:val="24"/>
          <w:lang w:val="en-US" w:eastAsia="zh-CN"/>
        </w:rPr>
        <w:t>二者之间存在天然矛盾：</w:t>
      </w:r>
      <w:r>
        <w:rPr>
          <w:rFonts w:ascii="宋体" w:hAnsi="宋体" w:eastAsia="宋体" w:cs="宋体"/>
          <w:sz w:val="24"/>
          <w:szCs w:val="24"/>
        </w:rPr>
        <w:t>压缩越强</w:t>
      </w:r>
      <w:r>
        <w:rPr>
          <w:rFonts w:hint="eastAsia" w:ascii="宋体" w:hAnsi="宋体" w:eastAsia="宋体" w:cs="宋体"/>
          <w:sz w:val="24"/>
          <w:szCs w:val="24"/>
          <w:lang w:eastAsia="zh-CN"/>
        </w:rPr>
        <w:t>，</w:t>
      </w:r>
      <w:r>
        <w:rPr>
          <w:rFonts w:ascii="宋体" w:hAnsi="宋体" w:eastAsia="宋体" w:cs="宋体"/>
          <w:sz w:val="24"/>
          <w:szCs w:val="24"/>
        </w:rPr>
        <w:t>冗余越少，抗误码能力越弱</w:t>
      </w:r>
      <w:r>
        <w:rPr>
          <w:rFonts w:hint="eastAsia" w:ascii="宋体" w:hAnsi="宋体" w:eastAsia="宋体" w:cs="宋体"/>
          <w:sz w:val="24"/>
          <w:szCs w:val="24"/>
          <w:lang w:eastAsia="zh-CN"/>
        </w:rPr>
        <w:t>；</w:t>
      </w:r>
      <w:r>
        <w:rPr>
          <w:rFonts w:ascii="宋体" w:hAnsi="宋体" w:eastAsia="宋体" w:cs="宋体"/>
          <w:sz w:val="24"/>
          <w:szCs w:val="24"/>
        </w:rPr>
        <w:t>纠错越强</w:t>
      </w:r>
      <w:r>
        <w:rPr>
          <w:rFonts w:hint="eastAsia" w:ascii="宋体" w:hAnsi="宋体" w:eastAsia="宋体" w:cs="宋体"/>
          <w:sz w:val="24"/>
          <w:szCs w:val="24"/>
          <w:lang w:eastAsia="zh-CN"/>
        </w:rPr>
        <w:t>，</w:t>
      </w:r>
      <w:r>
        <w:rPr>
          <w:rFonts w:ascii="宋体" w:hAnsi="宋体" w:eastAsia="宋体" w:cs="宋体"/>
          <w:sz w:val="24"/>
          <w:szCs w:val="24"/>
        </w:rPr>
        <w:t>冗余越多，传输效率越低</w:t>
      </w:r>
      <w:r>
        <w:rPr>
          <w:rFonts w:hint="eastAsia" w:ascii="宋体" w:hAnsi="宋体" w:eastAsia="宋体" w:cs="宋体"/>
          <w:sz w:val="24"/>
          <w:szCs w:val="24"/>
          <w:lang w:eastAsia="zh-CN"/>
        </w:rPr>
        <w:t>。</w:t>
      </w:r>
    </w:p>
    <w:p w14:paraId="2DFA4F13">
      <w:pPr>
        <w:ind w:firstLine="420" w:firstLineChars="0"/>
        <w:jc w:val="both"/>
        <w:rPr>
          <w:rFonts w:hint="default"/>
          <w:sz w:val="24"/>
          <w:szCs w:val="24"/>
          <w:lang w:val="en-US" w:eastAsia="zh-CN"/>
        </w:rPr>
      </w:pPr>
      <w:r>
        <w:rPr>
          <w:rFonts w:hint="default"/>
          <w:sz w:val="24"/>
          <w:szCs w:val="24"/>
          <w:lang w:val="en-US" w:eastAsia="zh-CN"/>
        </w:rPr>
        <w:t>因此，本实验的核心问题是：如何在信源压缩效率、信道纠错能力和最终恢复质量之间取得平衡？</w:t>
      </w:r>
    </w:p>
    <w:p w14:paraId="65505DD6">
      <w:pPr>
        <w:ind w:firstLine="420" w:firstLineChars="0"/>
        <w:jc w:val="both"/>
        <w:rPr>
          <w:rFonts w:hint="default"/>
          <w:sz w:val="24"/>
          <w:szCs w:val="24"/>
          <w:lang w:val="en-US" w:eastAsia="zh-CN"/>
        </w:rPr>
      </w:pPr>
    </w:p>
    <w:p w14:paraId="39D4CA48">
      <w:pPr>
        <w:jc w:val="both"/>
        <w:rPr>
          <w:rFonts w:hint="default"/>
          <w:b/>
          <w:bCs/>
          <w:sz w:val="24"/>
          <w:szCs w:val="24"/>
          <w:lang w:val="en-US" w:eastAsia="zh-CN"/>
        </w:rPr>
      </w:pPr>
      <w:r>
        <w:rPr>
          <w:rFonts w:hint="eastAsia"/>
          <w:b/>
          <w:bCs/>
          <w:sz w:val="24"/>
          <w:szCs w:val="24"/>
          <w:lang w:val="en-US" w:eastAsia="zh-CN"/>
        </w:rPr>
        <w:t>二、总体设计</w:t>
      </w:r>
    </w:p>
    <w:p w14:paraId="0AE9001B">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本实验尝试探索不同信源信道编码方式对信息传输的影响。信源编码上，分别进行了哈夫曼、香农、费诺编码；信道编码上，分别进行了卷积码和汉明码。为了观察不同编码方式的效果，我们采用的实验路线是：</w:t>
      </w:r>
      <w:r>
        <w:rPr>
          <w:rFonts w:hint="eastAsia"/>
          <w:b w:val="0"/>
          <w:bCs w:val="0"/>
          <w:sz w:val="24"/>
          <w:szCs w:val="24"/>
          <w:lang w:val="en-US" w:eastAsia="zh-CN"/>
        </w:rPr>
        <w:t>分别对信源编码和信道编码进行单独实验，然后再组合不同的信源信道编码方式进行联合实验。</w:t>
      </w:r>
    </w:p>
    <w:p w14:paraId="62A3FA77">
      <w:pPr>
        <w:ind w:firstLine="420" w:firstLineChars="0"/>
        <w:jc w:val="both"/>
        <w:rPr>
          <w:rFonts w:hint="default"/>
          <w:sz w:val="24"/>
          <w:szCs w:val="24"/>
          <w:lang w:val="en-US" w:eastAsia="zh-CN"/>
        </w:rPr>
      </w:pPr>
      <w:r>
        <w:rPr>
          <w:rFonts w:hint="eastAsia"/>
          <w:sz w:val="24"/>
          <w:szCs w:val="24"/>
          <w:lang w:val="en-US" w:eastAsia="zh-CN"/>
        </w:rPr>
        <w:t>为了保证流程统一性，我们规定了图像传输的仿真主线（框图如下），分别定义各自的编解码接口并接入主流程中。</w:t>
      </w:r>
    </w:p>
    <w:p w14:paraId="387E2C6B">
      <w:pPr>
        <w:jc w:val="both"/>
      </w:pPr>
      <w:r>
        <w:drawing>
          <wp:inline distT="0" distB="0" distL="114300" distR="114300">
            <wp:extent cx="5658485" cy="1098550"/>
            <wp:effectExtent l="0" t="0" r="571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658485" cy="1098550"/>
                    </a:xfrm>
                    <a:prstGeom prst="rect">
                      <a:avLst/>
                    </a:prstGeom>
                    <a:noFill/>
                    <a:ln>
                      <a:noFill/>
                    </a:ln>
                  </pic:spPr>
                </pic:pic>
              </a:graphicData>
            </a:graphic>
          </wp:inline>
        </w:drawing>
      </w:r>
    </w:p>
    <w:p w14:paraId="5EDCFC9C">
      <w:pPr>
        <w:numPr>
          <w:ilvl w:val="0"/>
          <w:numId w:val="1"/>
        </w:numPr>
        <w:jc w:val="both"/>
        <w:rPr>
          <w:rFonts w:hint="eastAsia"/>
          <w:b/>
          <w:bCs/>
          <w:sz w:val="24"/>
          <w:szCs w:val="24"/>
          <w:lang w:val="en-US" w:eastAsia="zh-CN"/>
        </w:rPr>
      </w:pPr>
      <w:r>
        <w:rPr>
          <w:rFonts w:hint="eastAsia"/>
          <w:b/>
          <w:bCs/>
          <w:sz w:val="24"/>
          <w:szCs w:val="24"/>
          <w:lang w:val="en-US" w:eastAsia="zh-CN"/>
        </w:rPr>
        <w:t>信源编码</w:t>
      </w:r>
    </w:p>
    <w:p w14:paraId="193862E5">
      <w:pPr>
        <w:widowControl w:val="0"/>
        <w:numPr>
          <w:ilvl w:val="0"/>
          <w:numId w:val="0"/>
        </w:numPr>
        <w:jc w:val="both"/>
        <w:rPr>
          <w:rFonts w:hint="eastAsia"/>
          <w:b/>
          <w:bCs/>
          <w:sz w:val="24"/>
          <w:szCs w:val="24"/>
          <w:lang w:val="en-US" w:eastAsia="zh-CN"/>
        </w:rPr>
      </w:pPr>
      <w:r>
        <w:rPr>
          <w:rFonts w:hint="eastAsia"/>
          <w:b/>
          <w:bCs/>
          <w:sz w:val="24"/>
          <w:szCs w:val="24"/>
          <w:lang w:val="en-US" w:eastAsia="zh-CN"/>
        </w:rPr>
        <w:t>1、实验原理：</w:t>
      </w:r>
    </w:p>
    <w:p w14:paraId="080E078B">
      <w:pPr>
        <w:widowControl w:val="0"/>
        <w:numPr>
          <w:ilvl w:val="0"/>
          <w:numId w:val="0"/>
        </w:numPr>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（1）哈夫曼编码：</w:t>
      </w:r>
    </w:p>
    <w:p w14:paraId="462348EF">
      <w:pPr>
        <w:widowControl w:val="0"/>
        <w:numPr>
          <w:ilvl w:val="0"/>
          <w:numId w:val="0"/>
        </w:numPr>
        <w:ind w:firstLine="420" w:firstLineChars="0"/>
        <w:jc w:val="both"/>
        <w:rPr>
          <w:rFonts w:hint="default" w:ascii="宋体" w:hAnsi="宋体" w:eastAsia="宋体" w:cs="宋体"/>
          <w:sz w:val="24"/>
          <w:szCs w:val="24"/>
          <w:lang w:val="en-US" w:eastAsia="zh-CN"/>
        </w:rPr>
      </w:pPr>
      <w:r>
        <w:rPr>
          <w:rFonts w:ascii="宋体" w:hAnsi="宋体" w:eastAsia="宋体" w:cs="宋体"/>
          <w:sz w:val="24"/>
          <w:szCs w:val="24"/>
        </w:rPr>
        <w:t>哈夫曼编码是一种典型的无失真变长信源编码方法，其基本思想是：根据不同信源符号出现概率的大小，为高概率符号分配较短码字，为低概率符号分配较长码字，从而降低信源编码后的平均码长，达到压缩数据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去除冗余</w:t>
      </w:r>
      <w:r>
        <w:rPr>
          <w:rFonts w:ascii="宋体" w:hAnsi="宋体" w:eastAsia="宋体" w:cs="宋体"/>
          <w:sz w:val="24"/>
          <w:szCs w:val="24"/>
        </w:rPr>
        <w:t>、提高传输效率的目的。</w:t>
      </w:r>
      <w:r>
        <w:rPr>
          <w:rFonts w:hint="eastAsia" w:ascii="宋体" w:hAnsi="宋体" w:eastAsia="宋体" w:cs="宋体"/>
          <w:sz w:val="24"/>
          <w:szCs w:val="24"/>
          <w:lang w:val="en-US" w:eastAsia="zh-CN"/>
        </w:rPr>
        <w:t>但其不具备纠错能力，</w:t>
      </w:r>
      <w:r>
        <w:rPr>
          <w:rFonts w:ascii="宋体" w:hAnsi="宋体" w:eastAsia="宋体" w:cs="宋体"/>
          <w:sz w:val="24"/>
          <w:szCs w:val="24"/>
        </w:rPr>
        <w:t>，当信道中出现误码时，可能引起后续码字边界错位，导致错误扩散。</w:t>
      </w:r>
    </w:p>
    <w:p w14:paraId="76673738">
      <w:pPr>
        <w:widowControl w:val="0"/>
        <w:numPr>
          <w:ilvl w:val="0"/>
          <w:numId w:val="0"/>
        </w:numPr>
        <w:ind w:firstLine="420" w:firstLineChars="0"/>
        <w:jc w:val="both"/>
        <w:rPr>
          <w:rFonts w:hint="eastAsia" w:ascii="宋体" w:hAnsi="宋体" w:eastAsia="宋体" w:cs="宋体"/>
          <w:sz w:val="24"/>
          <w:szCs w:val="24"/>
          <w:lang w:val="en-US" w:eastAsia="zh-CN"/>
        </w:rPr>
      </w:pPr>
      <w:r>
        <w:rPr>
          <w:rFonts w:ascii="宋体" w:hAnsi="宋体" w:eastAsia="宋体" w:cs="宋体"/>
          <w:sz w:val="24"/>
          <w:szCs w:val="24"/>
        </w:rPr>
        <w:t>本实验中，输入图像首先被转换为二进制比特流，再按照设定的分组长度划分为信源符号。分组后的符号统计频率用于构造哈夫曼树并生成码表，原始符号序列再依据该码表编码为变长二进制码流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经信道传输、信源译码后恢复为图像。</w:t>
      </w:r>
    </w:p>
    <w:p w14:paraId="0410B376">
      <w:pPr>
        <w:widowControl w:val="0"/>
        <w:numPr>
          <w:ilvl w:val="0"/>
          <w:numId w:val="0"/>
        </w:numPr>
        <w:ind w:firstLine="480" w:firstLineChars="200"/>
        <w:jc w:val="both"/>
        <w:rPr>
          <w:rFonts w:hint="eastAsia" w:ascii="宋体" w:hAnsi="宋体" w:eastAsia="宋体" w:cs="宋体"/>
          <w:sz w:val="24"/>
          <w:szCs w:val="24"/>
          <w:lang w:eastAsia="zh-CN"/>
        </w:rPr>
      </w:pPr>
      <w:r>
        <w:rPr>
          <w:rFonts w:ascii="宋体" w:hAnsi="宋体" w:eastAsia="宋体" w:cs="宋体"/>
          <w:sz w:val="24"/>
          <w:szCs w:val="24"/>
        </w:rPr>
        <w:t>结合本实验目的，哈夫曼编码最关键的设计因素是分组长度（block length）。较小分组长度下，符号种类少、码表较小、实现较简单，但对图像统计特征利用不充分，压缩率通常较低；较大分组长度能够更充分地利用像素组合规律，从而降低平均码长、提高压缩率，但也会带来码表规模增大、实现复杂度上升等问题</w:t>
      </w:r>
      <w:r>
        <w:rPr>
          <w:rFonts w:hint="eastAsia" w:ascii="宋体" w:hAnsi="宋体" w:eastAsia="宋体" w:cs="宋体"/>
          <w:sz w:val="24"/>
          <w:szCs w:val="24"/>
          <w:lang w:eastAsia="zh-CN"/>
        </w:rPr>
        <w:t>。</w:t>
      </w:r>
    </w:p>
    <w:p w14:paraId="1F9E9E1D">
      <w:pPr>
        <w:widowControl w:val="0"/>
        <w:numPr>
          <w:numId w:val="0"/>
        </w:numPr>
        <w:jc w:val="both"/>
      </w:pPr>
      <w:r>
        <w:drawing>
          <wp:anchor distT="0" distB="0" distL="114300" distR="114300" simplePos="0" relativeHeight="251659264" behindDoc="0" locked="0" layoutInCell="1" allowOverlap="1">
            <wp:simplePos x="0" y="0"/>
            <wp:positionH relativeFrom="column">
              <wp:posOffset>275590</wp:posOffset>
            </wp:positionH>
            <wp:positionV relativeFrom="paragraph">
              <wp:posOffset>81280</wp:posOffset>
            </wp:positionV>
            <wp:extent cx="4723130" cy="2407285"/>
            <wp:effectExtent l="0" t="0" r="1270" b="571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723130" cy="2407285"/>
                    </a:xfrm>
                    <a:prstGeom prst="rect">
                      <a:avLst/>
                    </a:prstGeom>
                    <a:noFill/>
                    <a:ln>
                      <a:noFill/>
                    </a:ln>
                  </pic:spPr>
                </pic:pic>
              </a:graphicData>
            </a:graphic>
          </wp:anchor>
        </w:drawing>
      </w:r>
      <w:r>
        <w:rPr>
          <w:rFonts w:hint="eastAsia" w:ascii="宋体" w:hAnsi="宋体" w:eastAsia="宋体" w:cs="宋体"/>
          <w:sz w:val="24"/>
          <w:szCs w:val="24"/>
          <w:lang w:val="en-US" w:eastAsia="zh-CN"/>
        </w:rPr>
        <w:t xml:space="preserve">  （2）费诺编码：</w:t>
      </w:r>
    </w:p>
    <w:p w14:paraId="43AA3434">
      <w:pPr>
        <w:widowControl w:val="0"/>
        <w:numPr>
          <w:ilvl w:val="0"/>
          <w:numId w:val="0"/>
        </w:numPr>
        <w:ind w:firstLine="420" w:firstLineChars="0"/>
        <w:jc w:val="both"/>
        <w:rPr>
          <w:rFonts w:ascii="宋体" w:hAnsi="宋体" w:eastAsia="宋体" w:cs="宋体"/>
          <w:sz w:val="24"/>
          <w:szCs w:val="24"/>
        </w:rPr>
      </w:pPr>
      <w:r>
        <w:rPr>
          <w:rFonts w:hint="eastAsia" w:ascii="宋体" w:hAnsi="宋体" w:eastAsia="宋体" w:cs="宋体"/>
          <w:sz w:val="24"/>
          <w:szCs w:val="24"/>
          <w:lang w:val="en-US" w:eastAsia="zh-CN"/>
        </w:rPr>
        <w:t>费诺编码也是一种经典的无失真变长信源编码方法。其基本思想是采用“概率分割”的自顶向下策略：首先将信源符号按出现概率从大到小排序，然后将符号集分为概率尽可能相等的两组，分别赋予 0 和 1，再对各组继续进行这种等概率划分，直到每组只剩下一个符号为止。与哈夫曼编码类似，费诺码同样实现了高概率符号分配短码、低概率符号分配长码，从而达到数据压缩、去除冗余和提高传输效率的目的。但作为变长码，它同样不具备纠错能力，在带噪信道中极易发生边界错位，引发严重的错误扩散（雪崩效应）。</w:t>
      </w:r>
    </w:p>
    <w:p w14:paraId="27553123">
      <w:pPr>
        <w:widowControl w:val="0"/>
        <w:numPr>
          <w:ilvl w:val="0"/>
          <w:numId w:val="0"/>
        </w:numPr>
        <w:ind w:firstLine="420" w:firstLineChars="0"/>
        <w:jc w:val="both"/>
        <w:rPr>
          <w:rFonts w:hint="eastAsia" w:ascii="宋体" w:hAnsi="宋体" w:eastAsia="宋体" w:cs="宋体"/>
          <w:sz w:val="24"/>
          <w:szCs w:val="24"/>
          <w:lang w:val="en-US" w:eastAsia="zh-CN"/>
        </w:rPr>
      </w:pPr>
      <w:r>
        <w:rPr>
          <w:rFonts w:ascii="宋体" w:hAnsi="宋体" w:eastAsia="宋体" w:cs="宋体"/>
          <w:sz w:val="24"/>
          <w:szCs w:val="24"/>
        </w:rPr>
        <w:t>本实验中，输入图像转化为二进制比特流后，按设定的分组长度划分为信源符号。系统统计分组符号的概率并按降序排列，执行上述递归分割过程生成费诺码表。随后，原始符号序列经该码表映射为变长二进制码流，通过模拟信道传输后，在接收</w:t>
      </w:r>
      <w:r>
        <w:rPr>
          <w:rFonts w:hint="eastAsia" w:ascii="宋体" w:hAnsi="宋体" w:eastAsia="宋体" w:cs="宋体"/>
          <w:sz w:val="24"/>
          <w:szCs w:val="24"/>
          <w:lang w:val="en-US" w:eastAsia="zh-CN"/>
        </w:rPr>
        <w:t>端进行逆向匹配译码并重构图像。</w:t>
      </w:r>
    </w:p>
    <w:p w14:paraId="0BF7AFCF">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结合本实验目的，与哈夫曼编码一致，费诺编码最关键的设计因素同样是分组长度（block length）。较小的分组长度实现简单但无法充分利用图像像素的空间相关性，压缩率有限；较大的分组长度能进一步逼近信源熵，提升压缩效率，但会导致概率排序和递归分割的计算复杂度呈指数级上升，对系统性能提出更高要求。</w:t>
      </w:r>
    </w:p>
    <w:p w14:paraId="72B408BF">
      <w:pPr>
        <w:widowControl w:val="0"/>
        <w:numPr>
          <w:ilvl w:val="0"/>
          <w:numId w:val="0"/>
        </w:numPr>
        <w:ind w:firstLine="420" w:firstLineChars="0"/>
        <w:jc w:val="both"/>
        <w:rPr>
          <w:rFonts w:hint="eastAsia" w:ascii="宋体" w:hAnsi="宋体" w:eastAsia="宋体" w:cs="宋体"/>
          <w:sz w:val="24"/>
          <w:szCs w:val="24"/>
          <w:lang w:val="en-US" w:eastAsia="zh-CN"/>
        </w:rPr>
      </w:pPr>
      <w:r>
        <w:drawing>
          <wp:anchor distT="0" distB="0" distL="114300" distR="114300" simplePos="0" relativeHeight="251660288" behindDoc="0" locked="0" layoutInCell="1" allowOverlap="1">
            <wp:simplePos x="0" y="0"/>
            <wp:positionH relativeFrom="column">
              <wp:posOffset>492760</wp:posOffset>
            </wp:positionH>
            <wp:positionV relativeFrom="paragraph">
              <wp:posOffset>45720</wp:posOffset>
            </wp:positionV>
            <wp:extent cx="4288790" cy="2354580"/>
            <wp:effectExtent l="0" t="0" r="3810" b="7620"/>
            <wp:wrapSquare wrapText="bothSides"/>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6"/>
                    <a:stretch>
                      <a:fillRect/>
                    </a:stretch>
                  </pic:blipFill>
                  <pic:spPr>
                    <a:xfrm>
                      <a:off x="0" y="0"/>
                      <a:ext cx="4288790" cy="2354580"/>
                    </a:xfrm>
                    <a:prstGeom prst="rect">
                      <a:avLst/>
                    </a:prstGeom>
                    <a:noFill/>
                    <a:ln>
                      <a:noFill/>
                    </a:ln>
                  </pic:spPr>
                </pic:pic>
              </a:graphicData>
            </a:graphic>
          </wp:anchor>
        </w:drawing>
      </w:r>
    </w:p>
    <w:p w14:paraId="64D65AFC">
      <w:pPr>
        <w:widowControl w:val="0"/>
        <w:numPr>
          <w:ilvl w:val="0"/>
          <w:numId w:val="0"/>
        </w:numPr>
        <w:ind w:firstLine="420" w:firstLineChars="0"/>
        <w:jc w:val="both"/>
        <w:rPr>
          <w:rFonts w:hint="eastAsia" w:ascii="宋体" w:hAnsi="宋体" w:eastAsia="宋体" w:cs="宋体"/>
          <w:sz w:val="24"/>
          <w:szCs w:val="24"/>
          <w:lang w:val="en-US" w:eastAsia="zh-CN"/>
        </w:rPr>
      </w:pPr>
    </w:p>
    <w:p w14:paraId="07CC5F20">
      <w:pPr>
        <w:widowControl w:val="0"/>
        <w:numPr>
          <w:ilvl w:val="0"/>
          <w:numId w:val="0"/>
        </w:numPr>
        <w:ind w:firstLine="420" w:firstLineChars="0"/>
        <w:jc w:val="both"/>
        <w:rPr>
          <w:rFonts w:hint="eastAsia" w:ascii="宋体" w:hAnsi="宋体" w:eastAsia="宋体" w:cs="宋体"/>
          <w:sz w:val="24"/>
          <w:szCs w:val="24"/>
          <w:lang w:val="en-US" w:eastAsia="zh-CN"/>
        </w:rPr>
      </w:pPr>
    </w:p>
    <w:p w14:paraId="1F3E496E">
      <w:pPr>
        <w:widowControl w:val="0"/>
        <w:numPr>
          <w:ilvl w:val="0"/>
          <w:numId w:val="0"/>
        </w:numPr>
        <w:ind w:firstLine="420" w:firstLineChars="0"/>
        <w:jc w:val="both"/>
        <w:rPr>
          <w:rFonts w:hint="eastAsia" w:ascii="宋体" w:hAnsi="宋体" w:eastAsia="宋体" w:cs="宋体"/>
          <w:sz w:val="24"/>
          <w:szCs w:val="24"/>
          <w:lang w:val="en-US" w:eastAsia="zh-CN"/>
        </w:rPr>
      </w:pPr>
    </w:p>
    <w:p w14:paraId="378A1984">
      <w:pPr>
        <w:widowControl w:val="0"/>
        <w:numPr>
          <w:ilvl w:val="0"/>
          <w:numId w:val="0"/>
        </w:numPr>
        <w:ind w:firstLine="420" w:firstLineChars="0"/>
        <w:jc w:val="both"/>
        <w:rPr>
          <w:rFonts w:hint="eastAsia" w:ascii="宋体" w:hAnsi="宋体" w:eastAsia="宋体" w:cs="宋体"/>
          <w:sz w:val="24"/>
          <w:szCs w:val="24"/>
          <w:lang w:val="en-US" w:eastAsia="zh-CN"/>
        </w:rPr>
      </w:pPr>
    </w:p>
    <w:p w14:paraId="32C13343">
      <w:pPr>
        <w:widowControl w:val="0"/>
        <w:numPr>
          <w:ilvl w:val="0"/>
          <w:numId w:val="0"/>
        </w:numPr>
        <w:ind w:firstLine="420" w:firstLineChars="0"/>
        <w:jc w:val="both"/>
        <w:rPr>
          <w:rFonts w:hint="eastAsia" w:ascii="宋体" w:hAnsi="宋体" w:eastAsia="宋体" w:cs="宋体"/>
          <w:sz w:val="24"/>
          <w:szCs w:val="24"/>
          <w:lang w:val="en-US" w:eastAsia="zh-CN"/>
        </w:rPr>
      </w:pPr>
    </w:p>
    <w:p w14:paraId="14CF2154">
      <w:pPr>
        <w:widowControl w:val="0"/>
        <w:numPr>
          <w:ilvl w:val="0"/>
          <w:numId w:val="2"/>
        </w:numPr>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香农编码：</w:t>
      </w:r>
    </w:p>
    <w:p w14:paraId="75C67FAD">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香农编码是信息论中最基础的变长编码方法之一，其理论意义往往大于实际工程应用。它的基本思想是：首先将信源符号按概率降序排列，计算每个符号的累加概率。然后，将该符号的自身概率取以 2 为底的对数的绝对值向上取整，作为该符号的码字长度（即</w:t>
      </w:r>
      <w:r>
        <w:rPr>
          <w:rFonts w:hint="eastAsia" w:ascii="宋体" w:hAnsi="宋体" w:eastAsia="宋体" w:cs="宋体"/>
          <w:i/>
          <w:iCs/>
          <w:sz w:val="24"/>
          <w:szCs w:val="24"/>
          <w:lang w:val="en-US" w:eastAsia="zh-CN"/>
        </w:rPr>
        <w:t>li=-log2pi</w:t>
      </w:r>
      <w:r>
        <w:rPr>
          <w:rFonts w:hint="eastAsia" w:ascii="宋体" w:hAnsi="宋体" w:eastAsia="宋体" w:cs="宋体"/>
          <w:sz w:val="24"/>
          <w:szCs w:val="24"/>
          <w:lang w:val="en-US" w:eastAsia="zh-CN"/>
        </w:rPr>
        <w:t xml:space="preserve">）。最后，将该符号的累加概率转化为二进制小数，截取前 </w:t>
      </w:r>
      <w:r>
        <w:rPr>
          <w:rFonts w:hint="eastAsia" w:ascii="宋体" w:hAnsi="宋体" w:eastAsia="宋体" w:cs="宋体"/>
          <w:i/>
          <w:iCs/>
          <w:sz w:val="24"/>
          <w:szCs w:val="24"/>
          <w:lang w:val="en-US" w:eastAsia="zh-CN"/>
        </w:rPr>
        <w:t xml:space="preserve">li </w:t>
      </w:r>
      <w:r>
        <w:rPr>
          <w:rFonts w:hint="eastAsia" w:ascii="宋体" w:hAnsi="宋体" w:eastAsia="宋体" w:cs="宋体"/>
          <w:sz w:val="24"/>
          <w:szCs w:val="24"/>
          <w:lang w:val="en-US" w:eastAsia="zh-CN"/>
        </w:rPr>
        <w:t>位作为其最终的香农码字。香农编码严格遵循了信息熵的理论下界，保证了码字的唯一可译性，但其编码效率通常略低于哈夫曼编码和费诺编码。同样地，作为变长码，它对信道误码极其敏感。</w:t>
      </w:r>
    </w:p>
    <w:p w14:paraId="534B7DB3">
      <w:pPr>
        <w:widowControl w:val="0"/>
        <w:numPr>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实验中，图像比特流按分组长度划分为符号后，计算其出现概率与累加概率。系统根据香农编码规则，利用对数运算确定码长并截取累加概率的二进制小数部分生成码表。原始数据经编码、传输和译码后恢复为图像。由于香农编码的构建过程不涉及复杂的树形结构或递归分割，其理论推导的直观性使其成为观察信源编码基本规律的良好基准。</w:t>
      </w:r>
    </w:p>
    <w:p w14:paraId="0BCCB3EB">
      <w:pPr>
        <w:widowControl w:val="0"/>
        <w:numPr>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结合本实验目的，香农编码的关键设计因素依然是分组长度（block length）。由于香农码字长度的计算方式较为直接，分组长度的增加虽然能提高压缩率，但依然无法改变其变长码在带噪信道中容易产生边界错位和误码扩散的固有缺陷。</w:t>
      </w:r>
    </w:p>
    <w:p w14:paraId="0BA40D76">
      <w:pPr>
        <w:widowControl w:val="0"/>
        <w:numPr>
          <w:numId w:val="0"/>
        </w:numPr>
        <w:ind w:firstLine="420" w:firstLineChars="200"/>
        <w:jc w:val="both"/>
        <w:rPr>
          <w:rFonts w:hint="default" w:ascii="宋体" w:hAnsi="宋体" w:eastAsia="宋体" w:cs="宋体"/>
          <w:sz w:val="24"/>
          <w:szCs w:val="24"/>
          <w:lang w:val="en-US" w:eastAsia="zh-CN"/>
        </w:rPr>
      </w:pPr>
      <w:r>
        <w:drawing>
          <wp:anchor distT="0" distB="0" distL="114300" distR="114300" simplePos="0" relativeHeight="251661312" behindDoc="0" locked="0" layoutInCell="1" allowOverlap="1">
            <wp:simplePos x="0" y="0"/>
            <wp:positionH relativeFrom="column">
              <wp:posOffset>939800</wp:posOffset>
            </wp:positionH>
            <wp:positionV relativeFrom="paragraph">
              <wp:posOffset>81280</wp:posOffset>
            </wp:positionV>
            <wp:extent cx="3394710" cy="2379980"/>
            <wp:effectExtent l="0" t="0" r="8890" b="7620"/>
            <wp:wrapSquare wrapText="bothSides"/>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
                    <a:stretch>
                      <a:fillRect/>
                    </a:stretch>
                  </pic:blipFill>
                  <pic:spPr>
                    <a:xfrm>
                      <a:off x="0" y="0"/>
                      <a:ext cx="3394710" cy="2379980"/>
                    </a:xfrm>
                    <a:prstGeom prst="rect">
                      <a:avLst/>
                    </a:prstGeom>
                    <a:noFill/>
                    <a:ln>
                      <a:noFill/>
                    </a:ln>
                  </pic:spPr>
                </pic:pic>
              </a:graphicData>
            </a:graphic>
          </wp:anchor>
        </w:drawing>
      </w:r>
    </w:p>
    <w:p w14:paraId="3343083D">
      <w:pPr>
        <w:widowControl w:val="0"/>
        <w:numPr>
          <w:numId w:val="0"/>
        </w:numPr>
        <w:ind w:firstLine="480" w:firstLineChars="200"/>
        <w:jc w:val="both"/>
        <w:rPr>
          <w:rFonts w:hint="default" w:ascii="宋体" w:hAnsi="宋体" w:eastAsia="宋体" w:cs="宋体"/>
          <w:sz w:val="24"/>
          <w:szCs w:val="24"/>
          <w:lang w:val="en-US" w:eastAsia="zh-CN"/>
        </w:rPr>
      </w:pPr>
    </w:p>
    <w:p w14:paraId="13831638">
      <w:pPr>
        <w:widowControl w:val="0"/>
        <w:numPr>
          <w:numId w:val="0"/>
        </w:numPr>
        <w:ind w:firstLine="480" w:firstLineChars="200"/>
        <w:jc w:val="both"/>
        <w:rPr>
          <w:rFonts w:hint="default" w:ascii="宋体" w:hAnsi="宋体" w:eastAsia="宋体" w:cs="宋体"/>
          <w:sz w:val="24"/>
          <w:szCs w:val="24"/>
          <w:lang w:val="en-US" w:eastAsia="zh-CN"/>
        </w:rPr>
      </w:pPr>
    </w:p>
    <w:p w14:paraId="555F6405">
      <w:pPr>
        <w:widowControl w:val="0"/>
        <w:numPr>
          <w:numId w:val="0"/>
        </w:numPr>
        <w:ind w:firstLine="480" w:firstLineChars="200"/>
        <w:jc w:val="both"/>
        <w:rPr>
          <w:rFonts w:hint="default" w:ascii="宋体" w:hAnsi="宋体" w:eastAsia="宋体" w:cs="宋体"/>
          <w:sz w:val="24"/>
          <w:szCs w:val="24"/>
          <w:lang w:val="en-US" w:eastAsia="zh-CN"/>
        </w:rPr>
      </w:pPr>
    </w:p>
    <w:p w14:paraId="4FE34F99">
      <w:pPr>
        <w:widowControl w:val="0"/>
        <w:numPr>
          <w:numId w:val="0"/>
        </w:numPr>
        <w:ind w:firstLine="480" w:firstLineChars="200"/>
        <w:jc w:val="both"/>
        <w:rPr>
          <w:rFonts w:hint="default" w:ascii="宋体" w:hAnsi="宋体" w:eastAsia="宋体" w:cs="宋体"/>
          <w:sz w:val="24"/>
          <w:szCs w:val="24"/>
          <w:lang w:val="en-US" w:eastAsia="zh-CN"/>
        </w:rPr>
      </w:pPr>
    </w:p>
    <w:p w14:paraId="323CEF90">
      <w:pPr>
        <w:widowControl w:val="0"/>
        <w:numPr>
          <w:numId w:val="0"/>
        </w:numPr>
        <w:ind w:firstLine="480" w:firstLineChars="200"/>
        <w:jc w:val="both"/>
        <w:rPr>
          <w:rFonts w:hint="default" w:ascii="宋体" w:hAnsi="宋体" w:eastAsia="宋体" w:cs="宋体"/>
          <w:sz w:val="24"/>
          <w:szCs w:val="24"/>
          <w:lang w:val="en-US" w:eastAsia="zh-CN"/>
        </w:rPr>
      </w:pPr>
    </w:p>
    <w:p w14:paraId="4CEAC46C">
      <w:pPr>
        <w:widowControl w:val="0"/>
        <w:numPr>
          <w:numId w:val="0"/>
        </w:numPr>
        <w:ind w:firstLine="480" w:firstLineChars="200"/>
        <w:jc w:val="both"/>
        <w:rPr>
          <w:rFonts w:hint="default" w:ascii="宋体" w:hAnsi="宋体" w:eastAsia="宋体" w:cs="宋体"/>
          <w:sz w:val="24"/>
          <w:szCs w:val="24"/>
          <w:lang w:val="en-US" w:eastAsia="zh-CN"/>
        </w:rPr>
      </w:pPr>
    </w:p>
    <w:p w14:paraId="1ACB5203">
      <w:pPr>
        <w:widowControl w:val="0"/>
        <w:numPr>
          <w:numId w:val="0"/>
        </w:numPr>
        <w:ind w:firstLine="480" w:firstLineChars="200"/>
        <w:jc w:val="both"/>
        <w:rPr>
          <w:rFonts w:hint="default" w:ascii="宋体" w:hAnsi="宋体" w:eastAsia="宋体" w:cs="宋体"/>
          <w:sz w:val="24"/>
          <w:szCs w:val="24"/>
          <w:lang w:val="en-US" w:eastAsia="zh-CN"/>
        </w:rPr>
      </w:pPr>
    </w:p>
    <w:p w14:paraId="2188A313">
      <w:pPr>
        <w:widowControl w:val="0"/>
        <w:numPr>
          <w:numId w:val="0"/>
        </w:numPr>
        <w:ind w:firstLine="480" w:firstLineChars="200"/>
        <w:jc w:val="both"/>
        <w:rPr>
          <w:rFonts w:hint="default" w:ascii="宋体" w:hAnsi="宋体" w:eastAsia="宋体" w:cs="宋体"/>
          <w:sz w:val="24"/>
          <w:szCs w:val="24"/>
          <w:lang w:val="en-US" w:eastAsia="zh-CN"/>
        </w:rPr>
      </w:pPr>
    </w:p>
    <w:p w14:paraId="665D85E7">
      <w:pPr>
        <w:widowControl w:val="0"/>
        <w:numPr>
          <w:numId w:val="0"/>
        </w:numPr>
        <w:ind w:firstLine="480" w:firstLineChars="200"/>
        <w:jc w:val="both"/>
        <w:rPr>
          <w:rFonts w:hint="default" w:ascii="宋体" w:hAnsi="宋体" w:eastAsia="宋体" w:cs="宋体"/>
          <w:sz w:val="24"/>
          <w:szCs w:val="24"/>
          <w:lang w:val="en-US" w:eastAsia="zh-CN"/>
        </w:rPr>
      </w:pPr>
    </w:p>
    <w:p w14:paraId="398AC8F9">
      <w:pPr>
        <w:widowControl w:val="0"/>
        <w:numPr>
          <w:numId w:val="0"/>
        </w:numPr>
        <w:ind w:firstLine="480" w:firstLineChars="200"/>
        <w:jc w:val="both"/>
        <w:rPr>
          <w:rFonts w:hint="default" w:ascii="宋体" w:hAnsi="宋体" w:eastAsia="宋体" w:cs="宋体"/>
          <w:sz w:val="24"/>
          <w:szCs w:val="24"/>
          <w:lang w:val="en-US" w:eastAsia="zh-CN"/>
        </w:rPr>
      </w:pPr>
    </w:p>
    <w:p w14:paraId="71F8C727">
      <w:pPr>
        <w:widowControl w:val="0"/>
        <w:numPr>
          <w:numId w:val="0"/>
        </w:numPr>
        <w:ind w:firstLine="480" w:firstLineChars="200"/>
        <w:jc w:val="both"/>
        <w:rPr>
          <w:rFonts w:hint="default" w:ascii="宋体" w:hAnsi="宋体" w:eastAsia="宋体" w:cs="宋体"/>
          <w:sz w:val="24"/>
          <w:szCs w:val="24"/>
          <w:lang w:val="en-US" w:eastAsia="zh-CN"/>
        </w:rPr>
      </w:pPr>
    </w:p>
    <w:p w14:paraId="43FBDE8C">
      <w:pPr>
        <w:widowControl w:val="0"/>
        <w:numPr>
          <w:numId w:val="0"/>
        </w:numPr>
        <w:ind w:firstLine="480" w:firstLineChars="200"/>
        <w:jc w:val="both"/>
        <w:rPr>
          <w:rFonts w:hint="default" w:ascii="宋体" w:hAnsi="宋体" w:eastAsia="宋体" w:cs="宋体"/>
          <w:sz w:val="24"/>
          <w:szCs w:val="24"/>
          <w:lang w:val="en-US" w:eastAsia="zh-CN"/>
        </w:rPr>
      </w:pPr>
    </w:p>
    <w:p w14:paraId="7354066C">
      <w:pPr>
        <w:widowControl w:val="0"/>
        <w:numPr>
          <w:ilvl w:val="0"/>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2.实验变量：</w:t>
      </w:r>
    </w:p>
    <w:p w14:paraId="1559DD3A">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（1）哈夫曼编码</w:t>
      </w:r>
    </w:p>
    <w:p w14:paraId="5BB93A86">
      <w:pPr>
        <w:widowControl w:val="0"/>
        <w:numPr>
          <w:ilvl w:val="0"/>
          <w:numId w:val="0"/>
        </w:numPr>
        <w:ind w:firstLine="420" w:firstLineChars="0"/>
        <w:jc w:val="both"/>
        <w:rPr>
          <w:rFonts w:ascii="宋体" w:hAnsi="宋体" w:eastAsia="宋体" w:cs="宋体"/>
          <w:sz w:val="24"/>
          <w:szCs w:val="24"/>
        </w:rPr>
      </w:pPr>
      <w:r>
        <w:rPr>
          <w:rFonts w:ascii="宋体" w:hAnsi="宋体" w:eastAsia="宋体" w:cs="宋体"/>
          <w:sz w:val="24"/>
          <w:szCs w:val="24"/>
        </w:rPr>
        <w:t>本实验主要考察在不同信道噪声条件下，哈夫曼分组长度对压缩性能和译码后恢复质量的影响。为此，设置如下变量。</w:t>
      </w:r>
    </w:p>
    <w:p w14:paraId="5971BA41">
      <w:pPr>
        <w:widowControl w:val="0"/>
        <w:numPr>
          <w:ilvl w:val="0"/>
          <w:numId w:val="3"/>
        </w:numPr>
        <w:ind w:firstLine="420" w:firstLineChars="0"/>
        <w:jc w:val="both"/>
        <w:rPr>
          <w:rFonts w:ascii="宋体" w:hAnsi="宋体" w:eastAsia="宋体" w:cs="宋体"/>
          <w:sz w:val="24"/>
          <w:szCs w:val="24"/>
        </w:rPr>
      </w:pPr>
      <w:r>
        <w:rPr>
          <w:rFonts w:ascii="宋体" w:hAnsi="宋体" w:eastAsia="宋体" w:cs="宋体"/>
          <w:sz w:val="24"/>
          <w:szCs w:val="24"/>
        </w:rPr>
        <w:t>设置信道信噪比 SNR为外部信道条件变量。脚本中取 0:2:12dB 作为一组仿真点，用于模拟从低信噪比到高信噪比的不同传输环境，并观察噪声变化对哈夫曼编码后比特流传输性能的影响。</w:t>
      </w:r>
    </w:p>
    <w:p w14:paraId="79463941">
      <w:pPr>
        <w:widowControl w:val="0"/>
        <w:numPr>
          <w:ilvl w:val="0"/>
          <w:numId w:val="0"/>
        </w:numPr>
        <w:ind w:firstLine="420" w:firstLineChars="0"/>
        <w:jc w:val="both"/>
        <w:rPr>
          <w:rFonts w:ascii="宋体" w:hAnsi="宋体" w:eastAsia="宋体" w:cs="宋体"/>
          <w:sz w:val="24"/>
          <w:szCs w:val="24"/>
        </w:rPr>
      </w:pPr>
      <w:r>
        <w:rPr>
          <w:rFonts w:ascii="宋体" w:hAnsi="宋体" w:eastAsia="宋体" w:cs="宋体"/>
          <w:sz w:val="24"/>
          <w:szCs w:val="24"/>
        </w:rPr>
        <w:t>设定哈夫曼分组长度 block</w:t>
      </w:r>
      <w:r>
        <w:rPr>
          <w:rFonts w:hint="eastAsia" w:ascii="宋体" w:hAnsi="宋体" w:eastAsia="宋体" w:cs="宋体"/>
          <w:sz w:val="24"/>
          <w:szCs w:val="24"/>
          <w:lang w:val="en-US" w:eastAsia="zh-CN"/>
        </w:rPr>
        <w:t xml:space="preserve"> </w:t>
      </w:r>
      <w:r>
        <w:rPr>
          <w:rFonts w:ascii="宋体" w:hAnsi="宋体" w:eastAsia="宋体" w:cs="宋体"/>
          <w:sz w:val="24"/>
          <w:szCs w:val="24"/>
        </w:rPr>
        <w:t>length为核心设计变量。脚本中取 block_lengths=[1,2,4]，分别表示将 1 个、2 个、4 个像素联合成一个 Huffman 源符号进行编码。</w:t>
      </w:r>
    </w:p>
    <w:p w14:paraId="482DED0E">
      <w:pPr>
        <w:widowControl w:val="0"/>
        <w:numPr>
          <w:ilvl w:val="0"/>
          <w:numId w:val="4"/>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费诺编码</w:t>
      </w:r>
    </w:p>
    <w:p w14:paraId="4F50F184">
      <w:pPr>
        <w:widowControl w:val="0"/>
        <w:numPr>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为了与团队中负责哈夫曼编码（主攻空间维度 Block 分析）的模块形成完美的立体互补，本模块针对费诺编码采取了“锁定空间维度，主攻信道维度”的控制变量策略。具体设置如下：</w:t>
      </w:r>
    </w:p>
    <w:p w14:paraId="5D18A68A">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①核心自变量：信道信噪比 (SNR)。</w:t>
      </w:r>
    </w:p>
    <w:p w14:paraId="58AD4971">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脚本中针对 SNR 进行了精密的密集取点（涵盖 1dB 至 15dB 等关键过渡带），用于模拟从极度恶劣到绝对纯净的传输环境。其核心目的在于捕捉变长码在噪声信道中长达 10dB 的“高危失步平台区”，并精准测算使其实现零误码重构的“15dB 瀑布崖点”。</w:t>
      </w:r>
    </w:p>
    <w:p w14:paraId="44D9DC20">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②严格控制的常量：分组长度 (Block Length = 1)。</w:t>
      </w:r>
    </w:p>
    <w:p w14:paraId="17BE9E0D">
      <w:pPr>
        <w:widowControl w:val="0"/>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为了排除不同组合尺度对误码扩散形态的干扰，本模块刻意将费诺码的分组长度严格锁定为 1（即逐个像素独立编码，信源输出总长恒定为 472,625 bit）。这一实验设计使得系统变量高度纯粹，为全链路联合实验中精确评估“卷积码软/硬判决”那 2dB 的算法增益，奠定了极其严谨、无干扰的数据基础。</w:t>
      </w:r>
    </w:p>
    <w:p w14:paraId="2806D161">
      <w:pPr>
        <w:widowControl w:val="0"/>
        <w:numPr>
          <w:ilvl w:val="0"/>
          <w:numId w:val="4"/>
        </w:numPr>
        <w:ind w:left="0"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香农编码</w:t>
      </w:r>
    </w:p>
    <w:p w14:paraId="3AB9B695">
      <w:pPr>
        <w:widowControl w:val="0"/>
        <w:numPr>
          <w:numId w:val="0"/>
        </w:num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本实验主要以香农编码作为信源编码的基础理论参照，考察在不同信道噪声条件下，其分组长度对压缩性能和译码后恢复质量的影响。为此，设置如下变量：</w:t>
      </w:r>
    </w:p>
    <w:p w14:paraId="347E9FE9">
      <w:pPr>
        <w:widowControl w:val="0"/>
        <w:numPr>
          <w:numId w:val="0"/>
        </w:numPr>
        <w:ind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①</w:t>
      </w:r>
      <w:r>
        <w:rPr>
          <w:rFonts w:hint="default" w:ascii="宋体" w:hAnsi="宋体" w:eastAsia="宋体" w:cs="宋体"/>
          <w:sz w:val="24"/>
          <w:szCs w:val="24"/>
          <w:lang w:val="en-US" w:eastAsia="zh-CN"/>
        </w:rPr>
        <w:t>设置信道信噪比 (SNR) 为外部信道条件变量。脚本中取 0:2:12dB 作为一组仿真点，用于模拟并观察香农变长码在从恶劣到良好信道环境中的传输表现及错误扩散规律。</w:t>
      </w:r>
    </w:p>
    <w:p w14:paraId="0E9C48D4">
      <w:pPr>
        <w:widowControl w:val="0"/>
        <w:numPr>
          <w:numId w:val="0"/>
        </w:numPr>
        <w:ind w:firstLine="480" w:firstLineChars="200"/>
        <w:jc w:val="both"/>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②</w:t>
      </w:r>
      <w:r>
        <w:rPr>
          <w:rFonts w:hint="default" w:ascii="宋体" w:hAnsi="宋体" w:eastAsia="宋体" w:cs="宋体"/>
          <w:sz w:val="24"/>
          <w:szCs w:val="24"/>
          <w:lang w:val="en-US" w:eastAsia="zh-CN"/>
        </w:rPr>
        <w:t>设定香农分组长度 (block length) 为核心设计变量。脚本中取 block_lengths=[1, 2, 4]，分别表示将 1 个、2 个、4 个像素联合成一个 Shannon 源符号进行累加概率计算与编码，借此观察压缩尺度变化对理论编码效率的实际影响。</w:t>
      </w:r>
    </w:p>
    <w:p w14:paraId="716059DB">
      <w:pPr>
        <w:widowControl w:val="0"/>
        <w:numPr>
          <w:ilvl w:val="0"/>
          <w:numId w:val="0"/>
        </w:num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3.实验指标：</w:t>
      </w:r>
    </w:p>
    <w:p w14:paraId="5C730BED">
      <w:pPr>
        <w:widowControl w:val="0"/>
        <w:numPr>
          <w:ilvl w:val="0"/>
          <w:numId w:val="0"/>
        </w:numPr>
        <w:ind w:firstLine="420" w:firstLineChars="0"/>
        <w:jc w:val="both"/>
        <w:rPr>
          <w:rFonts w:ascii="宋体" w:hAnsi="宋体" w:eastAsia="宋体" w:cs="宋体"/>
          <w:sz w:val="24"/>
          <w:szCs w:val="24"/>
        </w:rPr>
      </w:pPr>
      <w:r>
        <w:rPr>
          <w:rFonts w:ascii="宋体" w:hAnsi="宋体" w:eastAsia="宋体" w:cs="宋体"/>
          <w:sz w:val="24"/>
          <w:szCs w:val="24"/>
        </w:rPr>
        <w:t>实验指标分为压缩性能指标和误码性能指标两类。</w:t>
      </w:r>
    </w:p>
    <w:p w14:paraId="5AE3355E">
      <w:pPr>
        <w:widowControl w:val="0"/>
        <w:numPr>
          <w:ilvl w:val="0"/>
          <w:numId w:val="5"/>
        </w:numPr>
        <w:ind w:left="425" w:leftChars="0" w:hanging="425" w:firstLineChars="0"/>
        <w:jc w:val="both"/>
        <w:rPr>
          <w:rFonts w:ascii="宋体" w:hAnsi="宋体" w:eastAsia="宋体" w:cs="宋体"/>
          <w:sz w:val="24"/>
          <w:szCs w:val="24"/>
        </w:rPr>
      </w:pPr>
      <w:r>
        <w:rPr>
          <w:rFonts w:ascii="宋体" w:hAnsi="宋体" w:eastAsia="宋体" w:cs="宋体"/>
          <w:b/>
          <w:bCs/>
          <w:sz w:val="24"/>
          <w:szCs w:val="24"/>
        </w:rPr>
        <w:t>压缩性能方面</w:t>
      </w:r>
      <w:r>
        <w:rPr>
          <w:rFonts w:ascii="宋体" w:hAnsi="宋体" w:eastAsia="宋体" w:cs="宋体"/>
          <w:sz w:val="24"/>
          <w:szCs w:val="24"/>
        </w:rPr>
        <w:t>，采用平均码长、编码效率和压缩率进行评价。</w:t>
      </w:r>
    </w:p>
    <w:p w14:paraId="1C1D2285">
      <w:pPr>
        <w:widowControl w:val="0"/>
        <w:numPr>
          <w:numId w:val="0"/>
        </w:numPr>
        <w:ind w:leftChars="200"/>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①</w:t>
      </w:r>
      <w:r>
        <w:rPr>
          <w:rFonts w:ascii="宋体" w:hAnsi="宋体" w:eastAsia="宋体" w:cs="宋体"/>
          <w:sz w:val="24"/>
          <w:szCs w:val="24"/>
        </w:rPr>
        <w:t>平均码长用于描述每个信源符号平均需要多少比特表示</w:t>
      </w:r>
      <w:r>
        <w:rPr>
          <w:rFonts w:hint="eastAsia" w:ascii="宋体" w:hAnsi="宋体" w:eastAsia="宋体" w:cs="宋体"/>
          <w:sz w:val="24"/>
          <w:szCs w:val="24"/>
          <w:lang w:eastAsia="zh-CN"/>
        </w:rPr>
        <w:t>：</w:t>
      </w:r>
      <w:r>
        <w:drawing>
          <wp:inline distT="0" distB="0" distL="114300" distR="114300">
            <wp:extent cx="685165" cy="328295"/>
            <wp:effectExtent l="0" t="0" r="63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85165" cy="328295"/>
                    </a:xfrm>
                    <a:prstGeom prst="rect">
                      <a:avLst/>
                    </a:prstGeom>
                    <a:noFill/>
                    <a:ln>
                      <a:noFill/>
                    </a:ln>
                  </pic:spPr>
                </pic:pic>
              </a:graphicData>
            </a:graphic>
          </wp:inline>
        </w:drawing>
      </w:r>
    </w:p>
    <w:p w14:paraId="69D9F219">
      <w:pPr>
        <w:widowControl w:val="0"/>
        <w:numPr>
          <w:ilvl w:val="0"/>
          <w:numId w:val="0"/>
        </w:numPr>
        <w:ind w:leftChars="200"/>
        <w:jc w:val="both"/>
        <w:rPr>
          <w:rFonts w:hint="eastAsia"/>
          <w:lang w:eastAsia="zh-CN"/>
        </w:rPr>
      </w:pPr>
      <w:r>
        <w:rPr>
          <w:rFonts w:ascii="宋体" w:hAnsi="宋体" w:eastAsia="宋体" w:cs="宋体"/>
          <w:sz w:val="24"/>
          <w:szCs w:val="24"/>
        </w:rPr>
        <w:t>其中，pi表示第 i个信源符号出现的概率，li 表示该符号对应的哈夫曼码字长度。平均码长越小，说明压缩效果越好。</w:t>
      </w:r>
    </w:p>
    <w:p w14:paraId="15D6FBDE">
      <w:pPr>
        <w:widowControl w:val="0"/>
        <w:numPr>
          <w:numId w:val="0"/>
        </w:numPr>
        <w:ind w:leftChars="200"/>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②</w:t>
      </w:r>
      <w:r>
        <w:rPr>
          <w:rFonts w:ascii="宋体" w:hAnsi="宋体" w:eastAsia="宋体" w:cs="宋体"/>
          <w:sz w:val="24"/>
          <w:szCs w:val="24"/>
        </w:rPr>
        <w:t>编码效率用于衡量哈夫曼编码与理论最优编码之间的接近程度</w:t>
      </w:r>
      <w:r>
        <w:rPr>
          <w:rFonts w:hint="eastAsia" w:ascii="宋体" w:hAnsi="宋体" w:eastAsia="宋体" w:cs="宋体"/>
          <w:sz w:val="24"/>
          <w:szCs w:val="24"/>
          <w:lang w:eastAsia="zh-CN"/>
        </w:rPr>
        <w:t>：</w:t>
      </w:r>
    </w:p>
    <w:p w14:paraId="3508E39F">
      <w:pPr>
        <w:widowControl w:val="0"/>
        <w:numPr>
          <w:ilvl w:val="0"/>
          <w:numId w:val="0"/>
        </w:numPr>
        <w:ind w:leftChars="200"/>
        <w:jc w:val="both"/>
        <w:rPr>
          <w:rFonts w:ascii="宋体" w:hAnsi="宋体" w:eastAsia="宋体" w:cs="宋体"/>
          <w:sz w:val="24"/>
          <w:szCs w:val="24"/>
        </w:rPr>
      </w:pPr>
      <w:r>
        <w:drawing>
          <wp:inline distT="0" distB="0" distL="114300" distR="114300">
            <wp:extent cx="631825" cy="320675"/>
            <wp:effectExtent l="0" t="0" r="317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31825" cy="320675"/>
                    </a:xfrm>
                    <a:prstGeom prst="rect">
                      <a:avLst/>
                    </a:prstGeom>
                    <a:noFill/>
                    <a:ln>
                      <a:noFill/>
                    </a:ln>
                  </pic:spPr>
                </pic:pic>
              </a:graphicData>
            </a:graphic>
          </wp:inline>
        </w:drawing>
      </w:r>
      <w:r>
        <w:rPr>
          <w:rFonts w:ascii="宋体" w:hAnsi="宋体" w:eastAsia="宋体" w:cs="宋体"/>
          <w:sz w:val="24"/>
          <w:szCs w:val="24"/>
        </w:rPr>
        <w:t>其中，H(X)为信源熵，表示该信源在理论上的最小平均编码长度。编码效率越接近 1，说明哈夫曼编码越接近熵极限。</w:t>
      </w:r>
    </w:p>
    <w:p w14:paraId="0AEC8C11">
      <w:pPr>
        <w:widowControl w:val="0"/>
        <w:numPr>
          <w:numId w:val="0"/>
        </w:numPr>
        <w:ind w:firstLine="480" w:firstLineChars="200"/>
        <w:jc w:val="both"/>
        <w:rPr>
          <w:rFonts w:ascii="宋体" w:hAnsi="宋体" w:eastAsia="宋体" w:cs="宋体"/>
          <w:sz w:val="24"/>
          <w:szCs w:val="24"/>
        </w:rPr>
      </w:pPr>
      <w:r>
        <w:rPr>
          <w:rFonts w:hint="eastAsia" w:ascii="宋体" w:hAnsi="宋体" w:eastAsia="宋体" w:cs="宋体"/>
          <w:sz w:val="24"/>
          <w:szCs w:val="24"/>
          <w:lang w:val="en-US" w:eastAsia="zh-CN"/>
        </w:rPr>
        <w:t>③</w:t>
      </w:r>
      <w:r>
        <w:rPr>
          <w:rFonts w:ascii="宋体" w:hAnsi="宋体" w:eastAsia="宋体" w:cs="宋体"/>
          <w:sz w:val="24"/>
          <w:szCs w:val="24"/>
        </w:rPr>
        <w:t>压缩率用于衡量编码前后总比特数的变化情况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编码后比特数/原始比特数。</w:t>
      </w:r>
    </w:p>
    <w:p w14:paraId="5B54DC5A">
      <w:pPr>
        <w:widowControl w:val="0"/>
        <w:numPr>
          <w:ilvl w:val="0"/>
          <w:numId w:val="0"/>
        </w:numPr>
        <w:ind w:leftChars="0"/>
        <w:jc w:val="both"/>
        <w:rPr>
          <w:rFonts w:ascii="宋体" w:hAnsi="宋体" w:eastAsia="宋体" w:cs="宋体"/>
          <w:sz w:val="24"/>
          <w:szCs w:val="24"/>
        </w:rPr>
      </w:pPr>
      <w:r>
        <w:rPr>
          <w:rFonts w:hint="eastAsia" w:ascii="宋体" w:hAnsi="宋体" w:eastAsia="宋体" w:cs="宋体"/>
          <w:sz w:val="24"/>
          <w:szCs w:val="24"/>
          <w:lang w:val="en-US" w:eastAsia="zh-CN"/>
        </w:rPr>
        <w:t>B</w:t>
      </w:r>
      <w:r>
        <w:rPr>
          <w:rFonts w:hint="eastAsia" w:ascii="宋体" w:hAnsi="宋体" w:eastAsia="宋体" w:cs="宋体"/>
          <w:b/>
          <w:bCs/>
          <w:sz w:val="24"/>
          <w:szCs w:val="24"/>
          <w:lang w:val="en-US" w:eastAsia="zh-CN"/>
        </w:rPr>
        <w:t>.</w:t>
      </w:r>
      <w:r>
        <w:rPr>
          <w:rFonts w:ascii="宋体" w:hAnsi="宋体" w:eastAsia="宋体" w:cs="宋体"/>
          <w:b/>
          <w:bCs/>
          <w:sz w:val="24"/>
          <w:szCs w:val="24"/>
        </w:rPr>
        <w:t>误码性能方面</w:t>
      </w:r>
      <w:r>
        <w:rPr>
          <w:rFonts w:ascii="宋体" w:hAnsi="宋体" w:eastAsia="宋体" w:cs="宋体"/>
          <w:sz w:val="24"/>
          <w:szCs w:val="24"/>
        </w:rPr>
        <w:t xml:space="preserve">，本文同时记录哈夫曼译码后的 </w:t>
      </w:r>
      <w:r>
        <w:rPr>
          <w:rStyle w:val="6"/>
          <w:rFonts w:ascii="宋体" w:hAnsi="宋体" w:eastAsia="宋体" w:cs="宋体"/>
          <w:sz w:val="24"/>
          <w:szCs w:val="24"/>
        </w:rPr>
        <w:t>BER、PER 和 PSNR</w:t>
      </w:r>
      <w:r>
        <w:rPr>
          <w:rFonts w:ascii="宋体" w:hAnsi="宋体" w:eastAsia="宋体" w:cs="宋体"/>
          <w:sz w:val="24"/>
          <w:szCs w:val="24"/>
        </w:rPr>
        <w:t>，分别从比特错误、像素错误和图像恢复质量三个角度评价系统性能。。</w:t>
      </w:r>
    </w:p>
    <w:p w14:paraId="18DA696B">
      <w:pPr>
        <w:widowControl w:val="0"/>
        <w:numPr>
          <w:numId w:val="0"/>
        </w:numPr>
        <w:ind w:left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①BER：</w:t>
      </w:r>
      <w:r>
        <w:rPr>
          <w:rFonts w:ascii="宋体" w:hAnsi="宋体" w:eastAsia="宋体" w:cs="宋体"/>
          <w:sz w:val="24"/>
          <w:szCs w:val="24"/>
        </w:rPr>
        <w:t>译码后比特错误率</w:t>
      </w:r>
      <w:r>
        <w:rPr>
          <w:rFonts w:hint="eastAsia" w:ascii="宋体" w:hAnsi="宋体" w:eastAsia="宋体" w:cs="宋体"/>
          <w:sz w:val="24"/>
          <w:szCs w:val="24"/>
          <w:lang w:eastAsia="zh-CN"/>
        </w:rPr>
        <w:t>，</w:t>
      </w:r>
      <w:r>
        <w:rPr>
          <w:rFonts w:ascii="宋体" w:hAnsi="宋体" w:eastAsia="宋体" w:cs="宋体"/>
          <w:sz w:val="24"/>
          <w:szCs w:val="24"/>
        </w:rPr>
        <w:t>用于衡量哈夫曼译码并恢复图像数据后，恢复比特流与原始图像比特流之间的差异。</w:t>
      </w:r>
    </w:p>
    <w:p w14:paraId="76C90CE8">
      <w:pPr>
        <w:widowControl w:val="0"/>
        <w:numPr>
          <w:numId w:val="0"/>
        </w:numPr>
        <w:jc w:val="both"/>
        <w:rPr>
          <w:rFonts w:hint="eastAsia" w:ascii="宋体" w:hAnsi="宋体" w:eastAsia="宋体" w:cs="宋体"/>
          <w:sz w:val="24"/>
          <w:szCs w:val="24"/>
          <w:lang w:val="en-US" w:eastAsia="zh-CN"/>
        </w:rPr>
      </w:pPr>
      <w:r>
        <w:drawing>
          <wp:anchor distT="0" distB="0" distL="114300" distR="114300" simplePos="0" relativeHeight="251662336" behindDoc="0" locked="0" layoutInCell="1" allowOverlap="1">
            <wp:simplePos x="0" y="0"/>
            <wp:positionH relativeFrom="column">
              <wp:posOffset>858520</wp:posOffset>
            </wp:positionH>
            <wp:positionV relativeFrom="paragraph">
              <wp:posOffset>90170</wp:posOffset>
            </wp:positionV>
            <wp:extent cx="3556635" cy="1887855"/>
            <wp:effectExtent l="0" t="0" r="12065" b="4445"/>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3556635" cy="1887855"/>
                    </a:xfrm>
                    <a:prstGeom prst="rect">
                      <a:avLst/>
                    </a:prstGeom>
                    <a:noFill/>
                    <a:ln>
                      <a:noFill/>
                    </a:ln>
                  </pic:spPr>
                </pic:pic>
              </a:graphicData>
            </a:graphic>
          </wp:anchor>
        </w:drawing>
      </w:r>
    </w:p>
    <w:p w14:paraId="1F767A88">
      <w:pPr>
        <w:widowControl w:val="0"/>
        <w:numPr>
          <w:numId w:val="0"/>
        </w:numPr>
        <w:jc w:val="both"/>
        <w:rPr>
          <w:rFonts w:hint="eastAsia" w:ascii="宋体" w:hAnsi="宋体" w:eastAsia="宋体" w:cs="宋体"/>
          <w:sz w:val="24"/>
          <w:szCs w:val="24"/>
          <w:lang w:val="en-US" w:eastAsia="zh-CN"/>
        </w:rPr>
      </w:pPr>
    </w:p>
    <w:p w14:paraId="08F9486D">
      <w:pPr>
        <w:widowControl w:val="0"/>
        <w:numPr>
          <w:numId w:val="0"/>
        </w:numPr>
        <w:jc w:val="both"/>
        <w:rPr>
          <w:rFonts w:hint="eastAsia" w:ascii="宋体" w:hAnsi="宋体" w:eastAsia="宋体" w:cs="宋体"/>
          <w:sz w:val="24"/>
          <w:szCs w:val="24"/>
          <w:lang w:val="en-US" w:eastAsia="zh-CN"/>
        </w:rPr>
      </w:pPr>
    </w:p>
    <w:p w14:paraId="220771A6">
      <w:pPr>
        <w:widowControl w:val="0"/>
        <w:numPr>
          <w:numId w:val="0"/>
        </w:numPr>
        <w:jc w:val="both"/>
        <w:rPr>
          <w:rFonts w:hint="eastAsia" w:ascii="宋体" w:hAnsi="宋体" w:eastAsia="宋体" w:cs="宋体"/>
          <w:sz w:val="24"/>
          <w:szCs w:val="24"/>
          <w:lang w:val="en-US" w:eastAsia="zh-CN"/>
        </w:rPr>
      </w:pPr>
    </w:p>
    <w:p w14:paraId="13016CAC">
      <w:pPr>
        <w:widowControl w:val="0"/>
        <w:numPr>
          <w:numId w:val="0"/>
        </w:numPr>
        <w:jc w:val="both"/>
        <w:rPr>
          <w:rFonts w:hint="eastAsia" w:ascii="宋体" w:hAnsi="宋体" w:eastAsia="宋体" w:cs="宋体"/>
          <w:sz w:val="24"/>
          <w:szCs w:val="24"/>
          <w:lang w:val="en-US" w:eastAsia="zh-CN"/>
        </w:rPr>
      </w:pPr>
    </w:p>
    <w:p w14:paraId="6BEA9244">
      <w:pPr>
        <w:widowControl w:val="0"/>
        <w:numPr>
          <w:numId w:val="0"/>
        </w:numPr>
        <w:jc w:val="both"/>
        <w:rPr>
          <w:rFonts w:hint="eastAsia" w:ascii="宋体" w:hAnsi="宋体" w:eastAsia="宋体" w:cs="宋体"/>
          <w:sz w:val="24"/>
          <w:szCs w:val="24"/>
          <w:lang w:val="en-US" w:eastAsia="zh-CN"/>
        </w:rPr>
      </w:pPr>
    </w:p>
    <w:p w14:paraId="6FDEC794">
      <w:pPr>
        <w:widowControl w:val="0"/>
        <w:numPr>
          <w:numId w:val="0"/>
        </w:numPr>
        <w:jc w:val="both"/>
        <w:rPr>
          <w:rFonts w:hint="eastAsia" w:ascii="宋体" w:hAnsi="宋体" w:eastAsia="宋体" w:cs="宋体"/>
          <w:sz w:val="24"/>
          <w:szCs w:val="24"/>
          <w:lang w:val="en-US" w:eastAsia="zh-CN"/>
        </w:rPr>
      </w:pPr>
    </w:p>
    <w:p w14:paraId="2AC4B752">
      <w:pPr>
        <w:widowControl w:val="0"/>
        <w:numPr>
          <w:numId w:val="0"/>
        </w:numPr>
        <w:jc w:val="both"/>
        <w:rPr>
          <w:rFonts w:hint="eastAsia" w:ascii="宋体" w:hAnsi="宋体" w:eastAsia="宋体" w:cs="宋体"/>
          <w:sz w:val="24"/>
          <w:szCs w:val="24"/>
          <w:lang w:val="en-US" w:eastAsia="zh-CN"/>
        </w:rPr>
      </w:pPr>
    </w:p>
    <w:p w14:paraId="347074B8">
      <w:pPr>
        <w:widowControl w:val="0"/>
        <w:numPr>
          <w:numId w:val="0"/>
        </w:numPr>
        <w:jc w:val="both"/>
        <w:rPr>
          <w:rFonts w:hint="eastAsia" w:ascii="宋体" w:hAnsi="宋体" w:eastAsia="宋体" w:cs="宋体"/>
          <w:sz w:val="24"/>
          <w:szCs w:val="24"/>
          <w:lang w:val="en-US" w:eastAsia="zh-CN"/>
        </w:rPr>
      </w:pPr>
    </w:p>
    <w:p w14:paraId="04116769">
      <w:pPr>
        <w:widowControl w:val="0"/>
        <w:numPr>
          <w:numId w:val="0"/>
        </w:numPr>
        <w:jc w:val="both"/>
        <w:rPr>
          <w:rFonts w:hint="eastAsia" w:ascii="宋体" w:hAnsi="宋体" w:eastAsia="宋体" w:cs="宋体"/>
          <w:sz w:val="24"/>
          <w:szCs w:val="24"/>
          <w:lang w:val="en-US" w:eastAsia="zh-CN"/>
        </w:rPr>
      </w:pPr>
    </w:p>
    <w:p w14:paraId="3F712476">
      <w:pPr>
        <w:widowControl w:val="0"/>
        <w:numPr>
          <w:numId w:val="0"/>
        </w:numPr>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②PER：</w:t>
      </w:r>
      <w:r>
        <w:rPr>
          <w:rFonts w:ascii="宋体" w:hAnsi="宋体" w:eastAsia="宋体" w:cs="宋体"/>
          <w:sz w:val="24"/>
          <w:szCs w:val="24"/>
        </w:rPr>
        <w:t>像素错误率</w:t>
      </w:r>
      <w:r>
        <w:rPr>
          <w:rFonts w:hint="eastAsia" w:ascii="宋体" w:hAnsi="宋体" w:eastAsia="宋体" w:cs="宋体"/>
          <w:sz w:val="24"/>
          <w:szCs w:val="24"/>
          <w:lang w:eastAsia="zh-CN"/>
        </w:rPr>
        <w:t>，</w:t>
      </w:r>
      <w:r>
        <w:rPr>
          <w:rFonts w:ascii="宋体" w:hAnsi="宋体" w:eastAsia="宋体" w:cs="宋体"/>
          <w:sz w:val="24"/>
          <w:szCs w:val="24"/>
        </w:rPr>
        <w:t>用于衡量恢复图像中有多少比例的像素值发生错误</w:t>
      </w:r>
      <w:r>
        <w:rPr>
          <w:rFonts w:hint="eastAsia" w:ascii="宋体" w:hAnsi="宋体" w:eastAsia="宋体" w:cs="宋体"/>
          <w:sz w:val="24"/>
          <w:szCs w:val="24"/>
          <w:lang w:eastAsia="zh-CN"/>
        </w:rPr>
        <w:t>。</w:t>
      </w:r>
    </w:p>
    <w:p w14:paraId="2789208F">
      <w:pPr>
        <w:widowControl w:val="0"/>
        <w:numPr>
          <w:ilvl w:val="0"/>
          <w:numId w:val="0"/>
        </w:numPr>
        <w:ind w:leftChars="200"/>
        <w:jc w:val="both"/>
        <w:rPr>
          <w:rFonts w:hint="eastAsia" w:ascii="宋体" w:hAnsi="宋体" w:eastAsia="宋体" w:cs="宋体"/>
          <w:sz w:val="24"/>
          <w:szCs w:val="24"/>
          <w:lang w:val="en-US" w:eastAsia="zh-CN"/>
        </w:rPr>
      </w:pPr>
      <w:r>
        <w:drawing>
          <wp:anchor distT="0" distB="0" distL="114300" distR="114300" simplePos="0" relativeHeight="251663360" behindDoc="0" locked="0" layoutInCell="1" allowOverlap="1">
            <wp:simplePos x="0" y="0"/>
            <wp:positionH relativeFrom="column">
              <wp:posOffset>440690</wp:posOffset>
            </wp:positionH>
            <wp:positionV relativeFrom="paragraph">
              <wp:posOffset>93980</wp:posOffset>
            </wp:positionV>
            <wp:extent cx="4392930" cy="2379345"/>
            <wp:effectExtent l="0" t="0" r="1270" b="8255"/>
            <wp:wrapSquare wrapText="bothSides"/>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4392930" cy="2379345"/>
                    </a:xfrm>
                    <a:prstGeom prst="rect">
                      <a:avLst/>
                    </a:prstGeom>
                    <a:noFill/>
                    <a:ln>
                      <a:noFill/>
                    </a:ln>
                  </pic:spPr>
                </pic:pic>
              </a:graphicData>
            </a:graphic>
          </wp:anchor>
        </w:drawing>
      </w:r>
    </w:p>
    <w:p w14:paraId="6EE21EAF">
      <w:pPr>
        <w:widowControl w:val="0"/>
        <w:numPr>
          <w:numId w:val="0"/>
        </w:numPr>
        <w:ind w:leftChars="200"/>
        <w:jc w:val="both"/>
        <w:rPr>
          <w:rFonts w:hint="eastAsia" w:ascii="宋体" w:hAnsi="宋体" w:eastAsia="宋体" w:cs="宋体"/>
          <w:sz w:val="24"/>
          <w:szCs w:val="24"/>
          <w:lang w:val="en-US" w:eastAsia="zh-CN"/>
        </w:rPr>
      </w:pPr>
    </w:p>
    <w:p w14:paraId="2C872152">
      <w:pPr>
        <w:widowControl w:val="0"/>
        <w:numPr>
          <w:numId w:val="0"/>
        </w:numPr>
        <w:ind w:leftChars="200"/>
        <w:jc w:val="both"/>
        <w:rPr>
          <w:rFonts w:hint="eastAsia" w:ascii="宋体" w:hAnsi="宋体" w:eastAsia="宋体" w:cs="宋体"/>
          <w:sz w:val="24"/>
          <w:szCs w:val="24"/>
          <w:lang w:val="en-US" w:eastAsia="zh-CN"/>
        </w:rPr>
      </w:pPr>
    </w:p>
    <w:p w14:paraId="72F1A892">
      <w:pPr>
        <w:widowControl w:val="0"/>
        <w:numPr>
          <w:numId w:val="0"/>
        </w:numPr>
        <w:ind w:leftChars="200"/>
        <w:jc w:val="both"/>
        <w:rPr>
          <w:rFonts w:hint="eastAsia" w:ascii="宋体" w:hAnsi="宋体" w:eastAsia="宋体" w:cs="宋体"/>
          <w:sz w:val="24"/>
          <w:szCs w:val="24"/>
          <w:lang w:val="en-US" w:eastAsia="zh-CN"/>
        </w:rPr>
      </w:pPr>
    </w:p>
    <w:p w14:paraId="1E226890">
      <w:pPr>
        <w:widowControl w:val="0"/>
        <w:numPr>
          <w:numId w:val="0"/>
        </w:numPr>
        <w:ind w:leftChars="200"/>
        <w:jc w:val="both"/>
        <w:rPr>
          <w:rFonts w:hint="eastAsia" w:ascii="宋体" w:hAnsi="宋体" w:eastAsia="宋体" w:cs="宋体"/>
          <w:sz w:val="24"/>
          <w:szCs w:val="24"/>
          <w:lang w:val="en-US" w:eastAsia="zh-CN"/>
        </w:rPr>
      </w:pPr>
    </w:p>
    <w:p w14:paraId="32B6E0DA">
      <w:pPr>
        <w:widowControl w:val="0"/>
        <w:numPr>
          <w:numId w:val="0"/>
        </w:numPr>
        <w:ind w:leftChars="200"/>
        <w:jc w:val="both"/>
        <w:rPr>
          <w:rFonts w:hint="eastAsia" w:ascii="宋体" w:hAnsi="宋体" w:eastAsia="宋体" w:cs="宋体"/>
          <w:sz w:val="24"/>
          <w:szCs w:val="24"/>
          <w:lang w:val="en-US" w:eastAsia="zh-CN"/>
        </w:rPr>
      </w:pPr>
    </w:p>
    <w:p w14:paraId="0DC52B44">
      <w:pPr>
        <w:widowControl w:val="0"/>
        <w:numPr>
          <w:numId w:val="0"/>
        </w:numPr>
        <w:ind w:leftChars="200"/>
        <w:jc w:val="both"/>
        <w:rPr>
          <w:rFonts w:hint="eastAsia" w:ascii="宋体" w:hAnsi="宋体" w:eastAsia="宋体" w:cs="宋体"/>
          <w:sz w:val="24"/>
          <w:szCs w:val="24"/>
          <w:lang w:val="en-US" w:eastAsia="zh-CN"/>
        </w:rPr>
      </w:pPr>
    </w:p>
    <w:p w14:paraId="3226BEA9">
      <w:pPr>
        <w:widowControl w:val="0"/>
        <w:numPr>
          <w:numId w:val="0"/>
        </w:numPr>
        <w:ind w:leftChars="200"/>
        <w:jc w:val="both"/>
        <w:rPr>
          <w:rFonts w:hint="eastAsia" w:ascii="宋体" w:hAnsi="宋体" w:eastAsia="宋体" w:cs="宋体"/>
          <w:sz w:val="24"/>
          <w:szCs w:val="24"/>
          <w:lang w:val="en-US" w:eastAsia="zh-CN"/>
        </w:rPr>
      </w:pPr>
    </w:p>
    <w:p w14:paraId="4315BCF1">
      <w:pPr>
        <w:widowControl w:val="0"/>
        <w:numPr>
          <w:numId w:val="0"/>
        </w:numPr>
        <w:ind w:leftChars="200"/>
        <w:jc w:val="both"/>
        <w:rPr>
          <w:rFonts w:hint="eastAsia" w:ascii="宋体" w:hAnsi="宋体" w:eastAsia="宋体" w:cs="宋体"/>
          <w:sz w:val="24"/>
          <w:szCs w:val="24"/>
          <w:lang w:val="en-US" w:eastAsia="zh-CN"/>
        </w:rPr>
      </w:pPr>
    </w:p>
    <w:p w14:paraId="6C08946E">
      <w:pPr>
        <w:widowControl w:val="0"/>
        <w:numPr>
          <w:numId w:val="0"/>
        </w:numPr>
        <w:ind w:leftChars="200"/>
        <w:jc w:val="both"/>
        <w:rPr>
          <w:rFonts w:hint="eastAsia" w:ascii="宋体" w:hAnsi="宋体" w:eastAsia="宋体" w:cs="宋体"/>
          <w:sz w:val="24"/>
          <w:szCs w:val="24"/>
          <w:lang w:val="en-US" w:eastAsia="zh-CN"/>
        </w:rPr>
      </w:pPr>
    </w:p>
    <w:p w14:paraId="75CAB3A8">
      <w:pPr>
        <w:widowControl w:val="0"/>
        <w:numPr>
          <w:numId w:val="0"/>
        </w:numPr>
        <w:ind w:leftChars="200"/>
        <w:jc w:val="both"/>
        <w:rPr>
          <w:rFonts w:hint="eastAsia" w:ascii="宋体" w:hAnsi="宋体" w:eastAsia="宋体" w:cs="宋体"/>
          <w:sz w:val="24"/>
          <w:szCs w:val="24"/>
          <w:lang w:val="en-US" w:eastAsia="zh-CN"/>
        </w:rPr>
      </w:pPr>
    </w:p>
    <w:p w14:paraId="23374F0F">
      <w:pPr>
        <w:widowControl w:val="0"/>
        <w:numPr>
          <w:numId w:val="0"/>
        </w:numPr>
        <w:ind w:leftChars="200"/>
        <w:jc w:val="both"/>
        <w:rPr>
          <w:rFonts w:hint="eastAsia" w:ascii="宋体" w:hAnsi="宋体" w:eastAsia="宋体" w:cs="宋体"/>
          <w:sz w:val="24"/>
          <w:szCs w:val="24"/>
          <w:lang w:val="en-US" w:eastAsia="zh-CN"/>
        </w:rPr>
      </w:pPr>
    </w:p>
    <w:p w14:paraId="6EC2FE94">
      <w:pPr>
        <w:widowControl w:val="0"/>
        <w:numPr>
          <w:numId w:val="0"/>
        </w:numPr>
        <w:ind w:leftChars="200"/>
        <w:jc w:val="both"/>
        <w:rPr>
          <w:rFonts w:hint="eastAsia" w:ascii="宋体" w:hAnsi="宋体" w:eastAsia="宋体" w:cs="宋体"/>
          <w:sz w:val="24"/>
          <w:szCs w:val="24"/>
          <w:lang w:val="en-US" w:eastAsia="zh-CN"/>
        </w:rPr>
      </w:pPr>
    </w:p>
    <w:p w14:paraId="3146E984">
      <w:pPr>
        <w:widowControl w:val="0"/>
        <w:numPr>
          <w:numId w:val="0"/>
        </w:numPr>
        <w:ind w:leftChars="200"/>
        <w:jc w:val="both"/>
        <w:rPr>
          <w:rFonts w:ascii="宋体" w:hAnsi="宋体" w:eastAsia="宋体" w:cs="宋体"/>
          <w:sz w:val="24"/>
          <w:szCs w:val="24"/>
        </w:rPr>
      </w:pPr>
      <w:r>
        <w:rPr>
          <w:rFonts w:hint="eastAsia" w:ascii="宋体" w:hAnsi="宋体" w:eastAsia="宋体" w:cs="宋体"/>
          <w:sz w:val="24"/>
          <w:szCs w:val="24"/>
          <w:lang w:val="en-US" w:eastAsia="zh-CN"/>
        </w:rPr>
        <w:t>③PSNR：</w:t>
      </w:r>
      <w:r>
        <w:rPr>
          <w:rFonts w:ascii="宋体" w:hAnsi="宋体" w:eastAsia="宋体" w:cs="宋体"/>
          <w:sz w:val="24"/>
          <w:szCs w:val="24"/>
        </w:rPr>
        <w:t>峰值信噪比</w:t>
      </w:r>
      <w:r>
        <w:rPr>
          <w:rFonts w:hint="eastAsia" w:ascii="宋体" w:hAnsi="宋体" w:eastAsia="宋体" w:cs="宋体"/>
          <w:sz w:val="24"/>
          <w:szCs w:val="24"/>
          <w:lang w:eastAsia="zh-CN"/>
        </w:rPr>
        <w:t>，</w:t>
      </w:r>
      <w:r>
        <w:rPr>
          <w:rFonts w:ascii="宋体" w:hAnsi="宋体" w:eastAsia="宋体" w:cs="宋体"/>
          <w:sz w:val="24"/>
          <w:szCs w:val="24"/>
        </w:rPr>
        <w:t>用于衡量恢复图像与原始图像之间的整体失真程度，能够更直观地反映图像恢复质量。</w:t>
      </w:r>
    </w:p>
    <w:p w14:paraId="561C2054">
      <w:pPr>
        <w:widowControl w:val="0"/>
        <w:numPr>
          <w:numId w:val="0"/>
        </w:numPr>
        <w:ind w:leftChars="200"/>
        <w:jc w:val="both"/>
        <w:rPr>
          <w:rFonts w:ascii="宋体" w:hAnsi="宋体" w:eastAsia="宋体" w:cs="宋体"/>
          <w:sz w:val="24"/>
          <w:szCs w:val="24"/>
        </w:rPr>
      </w:pPr>
      <w:r>
        <w:drawing>
          <wp:anchor distT="0" distB="0" distL="114300" distR="114300" simplePos="0" relativeHeight="251664384" behindDoc="0" locked="0" layoutInCell="1" allowOverlap="1">
            <wp:simplePos x="0" y="0"/>
            <wp:positionH relativeFrom="column">
              <wp:posOffset>786130</wp:posOffset>
            </wp:positionH>
            <wp:positionV relativeFrom="paragraph">
              <wp:posOffset>94615</wp:posOffset>
            </wp:positionV>
            <wp:extent cx="3702685" cy="1684655"/>
            <wp:effectExtent l="0" t="0" r="5715" b="444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3702685" cy="1684655"/>
                    </a:xfrm>
                    <a:prstGeom prst="rect">
                      <a:avLst/>
                    </a:prstGeom>
                    <a:noFill/>
                    <a:ln>
                      <a:noFill/>
                    </a:ln>
                  </pic:spPr>
                </pic:pic>
              </a:graphicData>
            </a:graphic>
          </wp:anchor>
        </w:drawing>
      </w:r>
    </w:p>
    <w:p w14:paraId="782CFEEA">
      <w:pPr>
        <w:widowControl w:val="0"/>
        <w:numPr>
          <w:numId w:val="0"/>
        </w:numPr>
        <w:ind w:leftChars="200"/>
        <w:jc w:val="both"/>
        <w:rPr>
          <w:rFonts w:ascii="宋体" w:hAnsi="宋体" w:eastAsia="宋体" w:cs="宋体"/>
          <w:sz w:val="24"/>
          <w:szCs w:val="24"/>
        </w:rPr>
      </w:pPr>
    </w:p>
    <w:p w14:paraId="6500D500">
      <w:pPr>
        <w:widowControl w:val="0"/>
        <w:numPr>
          <w:numId w:val="0"/>
        </w:numPr>
        <w:ind w:leftChars="200"/>
        <w:jc w:val="both"/>
        <w:rPr>
          <w:rFonts w:ascii="宋体" w:hAnsi="宋体" w:eastAsia="宋体" w:cs="宋体"/>
          <w:sz w:val="24"/>
          <w:szCs w:val="24"/>
        </w:rPr>
      </w:pPr>
    </w:p>
    <w:p w14:paraId="55CB1679">
      <w:pPr>
        <w:widowControl w:val="0"/>
        <w:numPr>
          <w:numId w:val="0"/>
        </w:numPr>
        <w:ind w:leftChars="200"/>
        <w:jc w:val="both"/>
        <w:rPr>
          <w:rFonts w:ascii="宋体" w:hAnsi="宋体" w:eastAsia="宋体" w:cs="宋体"/>
          <w:sz w:val="24"/>
          <w:szCs w:val="24"/>
        </w:rPr>
      </w:pPr>
    </w:p>
    <w:p w14:paraId="78B45141">
      <w:pPr>
        <w:widowControl w:val="0"/>
        <w:numPr>
          <w:numId w:val="0"/>
        </w:numPr>
        <w:ind w:leftChars="200"/>
        <w:jc w:val="both"/>
        <w:rPr>
          <w:rFonts w:ascii="宋体" w:hAnsi="宋体" w:eastAsia="宋体" w:cs="宋体"/>
          <w:sz w:val="24"/>
          <w:szCs w:val="24"/>
        </w:rPr>
      </w:pPr>
    </w:p>
    <w:p w14:paraId="561ED628">
      <w:pPr>
        <w:widowControl w:val="0"/>
        <w:numPr>
          <w:numId w:val="0"/>
        </w:numPr>
        <w:ind w:leftChars="200"/>
        <w:jc w:val="both"/>
        <w:rPr>
          <w:rFonts w:ascii="宋体" w:hAnsi="宋体" w:eastAsia="宋体" w:cs="宋体"/>
          <w:sz w:val="24"/>
          <w:szCs w:val="24"/>
        </w:rPr>
      </w:pPr>
    </w:p>
    <w:p w14:paraId="184FD5CC">
      <w:pPr>
        <w:widowControl w:val="0"/>
        <w:numPr>
          <w:numId w:val="0"/>
        </w:numPr>
        <w:ind w:leftChars="200"/>
        <w:jc w:val="both"/>
        <w:rPr>
          <w:rFonts w:hint="default" w:ascii="宋体" w:hAnsi="宋体" w:eastAsia="宋体" w:cs="宋体"/>
          <w:sz w:val="24"/>
          <w:szCs w:val="24"/>
          <w:lang w:val="en-US" w:eastAsia="zh-CN"/>
        </w:rPr>
      </w:pPr>
    </w:p>
    <w:p w14:paraId="31961A7E">
      <w:pPr>
        <w:widowControl w:val="0"/>
        <w:numPr>
          <w:numId w:val="0"/>
        </w:numPr>
        <w:jc w:val="both"/>
        <w:rPr>
          <w:rFonts w:hint="default" w:ascii="宋体" w:hAnsi="宋体" w:eastAsia="宋体" w:cs="宋体"/>
          <w:sz w:val="24"/>
          <w:szCs w:val="24"/>
          <w:lang w:val="en-US" w:eastAsia="zh-CN"/>
        </w:rPr>
      </w:pPr>
    </w:p>
    <w:p w14:paraId="46A0224D">
      <w:pPr>
        <w:widowControl w:val="0"/>
        <w:numPr>
          <w:numId w:val="0"/>
        </w:numPr>
        <w:jc w:val="both"/>
        <w:rPr>
          <w:rFonts w:hint="default" w:ascii="宋体" w:hAnsi="宋体" w:eastAsia="宋体" w:cs="宋体"/>
          <w:sz w:val="24"/>
          <w:szCs w:val="24"/>
          <w:lang w:val="en-US" w:eastAsia="zh-CN"/>
        </w:rPr>
      </w:pPr>
    </w:p>
    <w:p w14:paraId="780353B3">
      <w:pPr>
        <w:widowControl w:val="0"/>
        <w:numPr>
          <w:ilvl w:val="0"/>
          <w:numId w:val="0"/>
        </w:numPr>
        <w:ind w:leftChars="200"/>
        <w:jc w:val="both"/>
        <w:rPr>
          <w:rFonts w:hint="default" w:ascii="宋体" w:hAnsi="宋体" w:eastAsia="宋体" w:cs="宋体"/>
          <w:sz w:val="24"/>
          <w:szCs w:val="24"/>
          <w:lang w:val="en-US" w:eastAsia="zh-CN"/>
        </w:rPr>
      </w:pPr>
    </w:p>
    <w:p w14:paraId="24D9500D">
      <w:pPr>
        <w:numPr>
          <w:ilvl w:val="0"/>
          <w:numId w:val="1"/>
        </w:numPr>
        <w:jc w:val="both"/>
        <w:rPr>
          <w:rFonts w:hint="eastAsia"/>
          <w:b/>
          <w:bCs/>
          <w:sz w:val="24"/>
          <w:szCs w:val="24"/>
          <w:lang w:val="en-US" w:eastAsia="zh-CN"/>
        </w:rPr>
      </w:pPr>
      <w:r>
        <w:rPr>
          <w:rFonts w:hint="eastAsia"/>
          <w:b/>
          <w:bCs/>
          <w:sz w:val="24"/>
          <w:szCs w:val="24"/>
          <w:lang w:val="en-US" w:eastAsia="zh-CN"/>
        </w:rPr>
        <w:t>信道编码</w:t>
      </w:r>
    </w:p>
    <w:p w14:paraId="69FC995E">
      <w:pPr>
        <w:numPr>
          <w:ilvl w:val="0"/>
          <w:numId w:val="6"/>
        </w:numPr>
        <w:jc w:val="both"/>
        <w:rPr>
          <w:rFonts w:hint="eastAsia"/>
          <w:b/>
          <w:bCs/>
          <w:sz w:val="24"/>
          <w:szCs w:val="24"/>
          <w:lang w:val="en-US" w:eastAsia="zh-CN"/>
        </w:rPr>
      </w:pPr>
      <w:r>
        <w:rPr>
          <w:rFonts w:hint="eastAsia"/>
          <w:b/>
          <w:bCs/>
          <w:sz w:val="24"/>
          <w:szCs w:val="24"/>
          <w:lang w:val="en-US" w:eastAsia="zh-CN"/>
        </w:rPr>
        <w:t>汉明码</w:t>
      </w:r>
    </w:p>
    <w:p w14:paraId="4E97EC9A">
      <w:pPr>
        <w:widowControl w:val="0"/>
        <w:numPr>
          <w:ilvl w:val="0"/>
          <w:numId w:val="7"/>
        </w:numPr>
        <w:jc w:val="both"/>
        <w:rPr>
          <w:rFonts w:hint="eastAsia"/>
          <w:b/>
          <w:bCs/>
          <w:sz w:val="24"/>
          <w:szCs w:val="24"/>
          <w:lang w:val="en-US" w:eastAsia="zh-CN"/>
        </w:rPr>
      </w:pPr>
      <w:r>
        <w:rPr>
          <w:rFonts w:hint="eastAsia"/>
          <w:b/>
          <w:bCs/>
          <w:sz w:val="24"/>
          <w:szCs w:val="24"/>
          <w:lang w:val="en-US" w:eastAsia="zh-CN"/>
        </w:rPr>
        <w:t>实验原理</w:t>
      </w:r>
    </w:p>
    <w:p w14:paraId="52023FC3">
      <w:pPr>
        <w:numPr>
          <w:ilvl w:val="0"/>
          <w:numId w:val="0"/>
        </w:numPr>
        <w:ind w:firstLine="480" w:firstLineChars="200"/>
        <w:jc w:val="both"/>
        <w:rPr>
          <w:rFonts w:hint="eastAsia"/>
          <w:b/>
          <w:bCs/>
          <w:sz w:val="24"/>
          <w:szCs w:val="24"/>
          <w:lang w:val="en-US" w:eastAsia="zh-CN"/>
        </w:rPr>
      </w:pPr>
      <w:r>
        <w:rPr>
          <w:rFonts w:hint="eastAsia"/>
          <w:b w:val="0"/>
          <w:bCs w:val="0"/>
          <w:sz w:val="24"/>
          <w:szCs w:val="24"/>
          <w:lang w:val="en-US" w:eastAsia="zh-CN"/>
        </w:rPr>
        <w:t>汉明码是一种经典的线性分组码，记为 (n, k) 码，其中 k 为信息位长度，n为编码后的总长度，n-k 为校验位长度。其基本原理是利用监督矩阵（校验矩阵）在发送端生成校验位，并在接收端计算伴随式来定位并纠正错码。汉明码的底层逻辑建立在有限域的代数运算之上。这种极其严密的矩阵乘法运算具有一个核心特征：它只识别纯粹的逻辑 0 和 1，天生排斥带有小数的模拟电平值。因此，在使用汉明码作为信道保护时，接收端在解调后必须首先执行硬判决（Hard Decision），即在 0 电平处强行“一刀切”，将带有噪声波动的模拟信号强制转化为二进制比特流，随后才能送入汉明译码器。</w:t>
      </w:r>
    </w:p>
    <w:p w14:paraId="19DC6E86">
      <w:pPr>
        <w:widowControl w:val="0"/>
        <w:numPr>
          <w:ilvl w:val="0"/>
          <w:numId w:val="7"/>
        </w:numPr>
        <w:jc w:val="both"/>
        <w:rPr>
          <w:rFonts w:hint="eastAsia"/>
          <w:b/>
          <w:bCs/>
          <w:sz w:val="24"/>
          <w:szCs w:val="24"/>
          <w:lang w:val="en-US" w:eastAsia="zh-CN"/>
        </w:rPr>
      </w:pPr>
      <w:r>
        <w:rPr>
          <w:rFonts w:hint="eastAsia"/>
          <w:b/>
          <w:bCs/>
          <w:sz w:val="24"/>
          <w:szCs w:val="24"/>
          <w:lang w:val="en-US" w:eastAsia="zh-CN"/>
        </w:rPr>
        <w:t>实验变量</w:t>
      </w:r>
    </w:p>
    <w:p w14:paraId="24BE0DD7">
      <w:pPr>
        <w:widowControl w:val="0"/>
        <w:numPr>
          <w:ilvl w:val="0"/>
          <w:numId w:val="0"/>
        </w:numPr>
        <w:ind w:firstLine="420" w:firstLineChars="0"/>
        <w:jc w:val="both"/>
        <w:rPr>
          <w:rFonts w:ascii="宋体" w:hAnsi="宋体" w:eastAsia="宋体" w:cs="宋体"/>
          <w:sz w:val="24"/>
          <w:szCs w:val="24"/>
        </w:rPr>
      </w:pPr>
      <w:r>
        <w:rPr>
          <w:rFonts w:ascii="宋体" w:hAnsi="宋体" w:eastAsia="宋体" w:cs="宋体"/>
          <w:sz w:val="24"/>
          <w:szCs w:val="24"/>
        </w:rPr>
        <w:t>本实验主要考察在不同信道噪声条件下，</w:t>
      </w:r>
      <w:r>
        <w:rPr>
          <w:rFonts w:hint="eastAsia" w:ascii="宋体" w:hAnsi="宋体" w:eastAsia="宋体" w:cs="宋体"/>
          <w:sz w:val="24"/>
          <w:szCs w:val="24"/>
          <w:lang w:val="en-US" w:eastAsia="zh-CN"/>
        </w:rPr>
        <w:t>汉明码的n,k</w:t>
      </w:r>
      <w:r>
        <w:rPr>
          <w:rFonts w:ascii="宋体" w:hAnsi="宋体" w:eastAsia="宋体" w:cs="宋体"/>
          <w:sz w:val="24"/>
          <w:szCs w:val="24"/>
        </w:rPr>
        <w:t>对</w:t>
      </w:r>
      <w:r>
        <w:rPr>
          <w:rFonts w:hint="eastAsia" w:ascii="宋体" w:hAnsi="宋体" w:eastAsia="宋体" w:cs="宋体"/>
          <w:sz w:val="24"/>
          <w:szCs w:val="24"/>
          <w:lang w:val="en-US" w:eastAsia="zh-CN"/>
        </w:rPr>
        <w:t>容错</w:t>
      </w:r>
      <w:r>
        <w:rPr>
          <w:rFonts w:ascii="宋体" w:hAnsi="宋体" w:eastAsia="宋体" w:cs="宋体"/>
          <w:sz w:val="24"/>
          <w:szCs w:val="24"/>
        </w:rPr>
        <w:t>性能和译码后恢复质量的影响。为此，设置如下变量。</w:t>
      </w:r>
    </w:p>
    <w:p w14:paraId="7AB002B9">
      <w:pPr>
        <w:widowControl w:val="0"/>
        <w:numPr>
          <w:ilvl w:val="0"/>
          <w:numId w:val="0"/>
        </w:numPr>
        <w:ind w:firstLine="420" w:firstLineChars="0"/>
        <w:jc w:val="both"/>
        <w:rPr>
          <w:rFonts w:hint="eastAsia" w:ascii="宋体" w:hAnsi="宋体" w:eastAsia="宋体" w:cs="宋体"/>
          <w:sz w:val="24"/>
          <w:szCs w:val="24"/>
          <w:lang w:val="en-US" w:eastAsia="zh-CN"/>
        </w:rPr>
      </w:pPr>
      <w:r>
        <w:rPr>
          <w:rFonts w:ascii="宋体" w:hAnsi="宋体" w:eastAsia="宋体" w:cs="宋体"/>
          <w:sz w:val="24"/>
          <w:szCs w:val="24"/>
        </w:rPr>
        <w:t>设置信道信噪比 SNR为外部信道条件变量。</w:t>
      </w:r>
      <w:r>
        <w:rPr>
          <w:rFonts w:hint="eastAsia" w:ascii="宋体" w:hAnsi="宋体" w:eastAsia="宋体" w:cs="宋体"/>
          <w:sz w:val="24"/>
          <w:szCs w:val="24"/>
          <w:lang w:val="en-US" w:eastAsia="zh-CN"/>
        </w:rPr>
        <w:t>设置方式如前。</w:t>
      </w:r>
    </w:p>
    <w:p w14:paraId="7BBC75B7">
      <w:pPr>
        <w:widowControl w:val="0"/>
        <w:numPr>
          <w:ilvl w:val="0"/>
          <w:numId w:val="0"/>
        </w:numPr>
        <w:ind w:firstLine="420" w:firstLineChars="0"/>
        <w:jc w:val="both"/>
        <w:rPr>
          <w:rFonts w:hint="eastAsia"/>
          <w:b/>
          <w:bCs/>
          <w:sz w:val="24"/>
          <w:szCs w:val="24"/>
          <w:lang w:val="en-US" w:eastAsia="zh-CN"/>
        </w:rPr>
      </w:pPr>
      <w:r>
        <w:rPr>
          <w:rFonts w:hint="eastAsia" w:ascii="宋体" w:hAnsi="宋体" w:eastAsia="宋体" w:cs="宋体"/>
          <w:sz w:val="24"/>
          <w:szCs w:val="24"/>
          <w:lang w:val="en-US" w:eastAsia="zh-CN"/>
        </w:rPr>
        <w:t>分别采用（7,4）和（15，11）汉明码。</w:t>
      </w:r>
    </w:p>
    <w:p w14:paraId="1B8BA965">
      <w:pPr>
        <w:widowControl w:val="0"/>
        <w:numPr>
          <w:ilvl w:val="0"/>
          <w:numId w:val="7"/>
        </w:numPr>
        <w:jc w:val="both"/>
        <w:rPr>
          <w:rFonts w:hint="eastAsia"/>
          <w:b/>
          <w:bCs/>
          <w:sz w:val="24"/>
          <w:szCs w:val="24"/>
          <w:lang w:val="en-US" w:eastAsia="zh-CN"/>
        </w:rPr>
      </w:pPr>
      <w:r>
        <w:rPr>
          <w:rFonts w:hint="eastAsia"/>
          <w:b/>
          <w:bCs/>
          <w:sz w:val="24"/>
          <w:szCs w:val="24"/>
          <w:lang w:val="en-US" w:eastAsia="zh-CN"/>
        </w:rPr>
        <w:t>实验指标</w:t>
      </w:r>
    </w:p>
    <w:p w14:paraId="1B3A045C">
      <w:pPr>
        <w:numPr>
          <w:ilvl w:val="0"/>
          <w:numId w:val="0"/>
        </w:numPr>
        <w:ind w:firstLine="420" w:firstLineChars="0"/>
        <w:jc w:val="both"/>
        <w:rPr>
          <w:rFonts w:hint="eastAsia" w:ascii="宋体" w:hAnsi="宋体" w:eastAsia="宋体" w:cs="宋体"/>
          <w:sz w:val="24"/>
          <w:szCs w:val="24"/>
          <w:lang w:eastAsia="zh-CN"/>
        </w:rPr>
      </w:pPr>
      <w:r>
        <w:rPr>
          <w:rFonts w:ascii="宋体" w:hAnsi="宋体" w:eastAsia="宋体" w:cs="宋体"/>
          <w:sz w:val="24"/>
          <w:szCs w:val="24"/>
        </w:rPr>
        <w:t>实验</w:t>
      </w:r>
      <w:r>
        <w:rPr>
          <w:rFonts w:hint="eastAsia" w:ascii="宋体" w:hAnsi="宋体" w:eastAsia="宋体" w:cs="宋体"/>
          <w:sz w:val="24"/>
          <w:szCs w:val="24"/>
          <w:lang w:val="en-US" w:eastAsia="zh-CN"/>
        </w:rPr>
        <w:t>核心</w:t>
      </w:r>
      <w:r>
        <w:rPr>
          <w:rFonts w:ascii="宋体" w:hAnsi="宋体" w:eastAsia="宋体" w:cs="宋体"/>
          <w:sz w:val="24"/>
          <w:szCs w:val="24"/>
        </w:rPr>
        <w:t>指标分为</w:t>
      </w:r>
      <w:r>
        <w:rPr>
          <w:rFonts w:hint="eastAsia" w:ascii="宋体" w:hAnsi="宋体" w:eastAsia="宋体" w:cs="宋体"/>
          <w:sz w:val="24"/>
          <w:szCs w:val="24"/>
          <w:lang w:val="en-US" w:eastAsia="zh-CN"/>
        </w:rPr>
        <w:t>传输效率</w:t>
      </w:r>
      <w:r>
        <w:rPr>
          <w:rFonts w:ascii="宋体" w:hAnsi="宋体" w:eastAsia="宋体" w:cs="宋体"/>
          <w:sz w:val="24"/>
          <w:szCs w:val="24"/>
        </w:rPr>
        <w:t>指标和误码性能指标两类</w:t>
      </w:r>
      <w:r>
        <w:rPr>
          <w:rFonts w:hint="eastAsia" w:ascii="宋体" w:hAnsi="宋体" w:eastAsia="宋体" w:cs="宋体"/>
          <w:sz w:val="24"/>
          <w:szCs w:val="24"/>
          <w:lang w:eastAsia="zh-CN"/>
        </w:rPr>
        <w:t>。</w:t>
      </w:r>
    </w:p>
    <w:p w14:paraId="1ADDC11C">
      <w:pPr>
        <w:numPr>
          <w:ilvl w:val="0"/>
          <w:numId w:val="8"/>
        </w:numPr>
        <w:ind w:left="425" w:leftChars="0" w:hanging="425"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传输效率：码率，</w:t>
      </w:r>
      <w:r>
        <w:rPr>
          <w:rFonts w:ascii="宋体" w:hAnsi="宋体" w:eastAsia="宋体" w:cs="宋体"/>
          <w:sz w:val="24"/>
          <w:szCs w:val="24"/>
        </w:rPr>
        <w:t>衡量引入冗余后的传输代价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R=k/n</w:t>
      </w:r>
    </w:p>
    <w:p w14:paraId="1A7006FD">
      <w:pPr>
        <w:numPr>
          <w:ilvl w:val="0"/>
          <w:numId w:val="8"/>
        </w:numPr>
        <w:ind w:left="425" w:leftChars="0" w:hanging="425"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误码性能：同前面的BER、PER、PSNR。</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除此之外，引入辅助指标解释纠错能力：</w:t>
      </w:r>
    </w:p>
    <w:p w14:paraId="49FB981B">
      <w:pPr>
        <w:widowControl w:val="0"/>
        <w:numPr>
          <w:ilvl w:val="0"/>
          <w:numId w:val="9"/>
        </w:numPr>
        <w:ind w:left="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纠错成功率：</w:t>
      </w:r>
      <w:r>
        <w:rPr>
          <w:rFonts w:ascii="宋体" w:hAnsi="宋体" w:eastAsia="宋体" w:cs="宋体"/>
          <w:sz w:val="24"/>
          <w:szCs w:val="24"/>
        </w:rPr>
        <w:t>衡量汉明码把错误纠回来的能力</w:t>
      </w:r>
    </w:p>
    <w:p w14:paraId="74050D1E">
      <w:pPr>
        <w:widowControl w:val="0"/>
        <w:numPr>
          <w:ilvl w:val="0"/>
          <w:numId w:val="0"/>
        </w:numPr>
        <w:jc w:val="both"/>
        <w:rPr>
          <w:rFonts w:hint="eastAsia" w:ascii="宋体" w:hAnsi="宋体" w:eastAsia="宋体" w:cs="宋体"/>
          <w:sz w:val="24"/>
          <w:szCs w:val="24"/>
          <w:lang w:val="en-US" w:eastAsia="zh-CN"/>
        </w:rPr>
      </w:pPr>
      <w:r>
        <w:drawing>
          <wp:inline distT="0" distB="0" distL="114300" distR="114300">
            <wp:extent cx="2205990" cy="624205"/>
            <wp:effectExtent l="0" t="0" r="3810" b="1079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3"/>
                    <a:stretch>
                      <a:fillRect/>
                    </a:stretch>
                  </pic:blipFill>
                  <pic:spPr>
                    <a:xfrm>
                      <a:off x="0" y="0"/>
                      <a:ext cx="2205990" cy="624205"/>
                    </a:xfrm>
                    <a:prstGeom prst="rect">
                      <a:avLst/>
                    </a:prstGeom>
                    <a:noFill/>
                    <a:ln>
                      <a:noFill/>
                    </a:ln>
                  </pic:spPr>
                </pic:pic>
              </a:graphicData>
            </a:graphic>
          </wp:inline>
        </w:drawing>
      </w:r>
    </w:p>
    <w:p w14:paraId="2E7AAC91">
      <w:pPr>
        <w:widowControl w:val="0"/>
        <w:numPr>
          <w:ilvl w:val="0"/>
          <w:numId w:val="9"/>
        </w:numPr>
        <w:ind w:left="0"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错误重量分布：</w:t>
      </w:r>
      <w:r>
        <w:rPr>
          <w:rFonts w:ascii="宋体" w:hAnsi="宋体" w:eastAsia="宋体" w:cs="宋体"/>
          <w:sz w:val="24"/>
          <w:szCs w:val="24"/>
        </w:rPr>
        <w:t>解释低 SNR 下汉明码性能下降</w:t>
      </w:r>
    </w:p>
    <w:p w14:paraId="403D58B6">
      <w:pPr>
        <w:numPr>
          <w:ilvl w:val="0"/>
          <w:numId w:val="6"/>
        </w:numPr>
        <w:jc w:val="both"/>
        <w:rPr>
          <w:rFonts w:hint="eastAsia"/>
          <w:b/>
          <w:bCs/>
          <w:sz w:val="24"/>
          <w:szCs w:val="24"/>
          <w:lang w:val="en-US" w:eastAsia="zh-CN"/>
        </w:rPr>
      </w:pPr>
      <w:r>
        <w:rPr>
          <w:rFonts w:hint="eastAsia"/>
          <w:b/>
          <w:bCs/>
          <w:sz w:val="24"/>
          <w:szCs w:val="24"/>
          <w:lang w:val="en-US" w:eastAsia="zh-CN"/>
        </w:rPr>
        <w:t>卷积码</w:t>
      </w:r>
    </w:p>
    <w:p w14:paraId="20227350">
      <w:pPr>
        <w:numPr>
          <w:ilvl w:val="0"/>
          <w:numId w:val="10"/>
        </w:numPr>
        <w:jc w:val="both"/>
        <w:rPr>
          <w:rFonts w:hint="eastAsia"/>
          <w:b/>
          <w:bCs/>
          <w:sz w:val="24"/>
          <w:szCs w:val="24"/>
          <w:lang w:val="en-US" w:eastAsia="zh-CN"/>
        </w:rPr>
      </w:pPr>
      <w:r>
        <w:rPr>
          <w:rFonts w:hint="eastAsia"/>
          <w:b/>
          <w:bCs/>
          <w:sz w:val="24"/>
          <w:szCs w:val="24"/>
          <w:lang w:val="en-US" w:eastAsia="zh-CN"/>
        </w:rPr>
        <w:t>实验原理</w:t>
      </w:r>
    </w:p>
    <w:p w14:paraId="5530417E">
      <w:pPr>
        <w:numPr>
          <w:numId w:val="0"/>
        </w:numPr>
        <w:ind w:firstLine="480" w:firstLineChars="200"/>
        <w:jc w:val="both"/>
        <w:rPr>
          <w:rFonts w:hint="eastAsia"/>
          <w:b w:val="0"/>
          <w:bCs w:val="0"/>
          <w:sz w:val="24"/>
          <w:szCs w:val="24"/>
          <w:lang w:val="en-US" w:eastAsia="zh-CN"/>
        </w:rPr>
      </w:pPr>
      <w:r>
        <w:rPr>
          <w:rFonts w:hint="eastAsia"/>
          <w:b w:val="0"/>
          <w:bCs w:val="0"/>
          <w:sz w:val="24"/>
          <w:szCs w:val="24"/>
          <w:lang w:val="en-US" w:eastAsia="zh-CN"/>
        </w:rPr>
        <w:t>与汉明码将数据截断为独立分组不同，卷积码是一种具有记忆特性的连续编码方式。编码器当前输出的 n 个比特不仅与当前输入的 k 个信息比特有关，还与前 K-1 个输入比特有关（K 为约束长度）。</w:t>
      </w:r>
    </w:p>
    <w:p w14:paraId="1A6224FA">
      <w:pPr>
        <w:numPr>
          <w:numId w:val="0"/>
        </w:numPr>
        <w:ind w:firstLine="480" w:firstLineChars="200"/>
        <w:jc w:val="both"/>
        <w:rPr>
          <w:rFonts w:hint="eastAsia"/>
          <w:b w:val="0"/>
          <w:bCs w:val="0"/>
          <w:sz w:val="24"/>
          <w:szCs w:val="24"/>
          <w:lang w:val="en-US" w:eastAsia="zh-CN"/>
        </w:rPr>
      </w:pPr>
      <w:r>
        <w:rPr>
          <w:rFonts w:hint="eastAsia"/>
          <w:b w:val="0"/>
          <w:bCs w:val="0"/>
          <w:sz w:val="24"/>
          <w:szCs w:val="24"/>
          <w:lang w:val="en-US" w:eastAsia="zh-CN"/>
        </w:rPr>
        <w:t>本实验采用的是工业界广泛使用（如 NASA 航天标准、802.11 等底层协议）的 K=7, R=1/2 卷积码（生成多项式为 171, 133）。卷积码的译码通常采用维特比算法（Viterbi Algorithm），其实质是在状态网格图（Trellis）中运用动态规划寻找最大似然的全局最优路径。与汉明码的代数方程解法不同，维特比算法走的是概率论与图论的路线，这赋予了它极强的灵活性，具体体现在以下两个核心机制：</w:t>
      </w:r>
    </w:p>
    <w:p w14:paraId="4B5EE269">
      <w:pPr>
        <w:numPr>
          <w:numId w:val="0"/>
        </w:numPr>
        <w:ind w:firstLine="480" w:firstLineChars="200"/>
        <w:jc w:val="both"/>
        <w:rPr>
          <w:rFonts w:hint="eastAsia"/>
          <w:b w:val="0"/>
          <w:bCs w:val="0"/>
          <w:sz w:val="24"/>
          <w:szCs w:val="24"/>
          <w:lang w:val="en-US" w:eastAsia="zh-CN"/>
        </w:rPr>
      </w:pPr>
      <w:r>
        <w:rPr>
          <w:rFonts w:hint="eastAsia"/>
          <w:b w:val="0"/>
          <w:bCs w:val="0"/>
          <w:sz w:val="24"/>
          <w:szCs w:val="24"/>
          <w:lang w:val="en-US" w:eastAsia="zh-CN"/>
        </w:rPr>
        <w:t>①回溯深度（Traceback Length, tblen）的作用： 维特比译码并非立刻输出当前判决，而是需要观察一段历史路径的收敛情况。tblen 定义了算法向后回溯的观察窗口大小。理论上，充分的回溯深度（通常为 4~ 5 倍的约束长度 K）能让噪声引发的临时错误分支在概率竞争中自然消亡；而过短的回溯长度（如强制设为 12）会导致各条路径尚未拉开概率差距时，译码器就被迫“盲猜”，从而引发严重误码。</w:t>
      </w:r>
    </w:p>
    <w:p w14:paraId="62E03F0A">
      <w:pPr>
        <w:numPr>
          <w:numId w:val="0"/>
        </w:numPr>
        <w:ind w:firstLine="480" w:firstLineChars="200"/>
        <w:jc w:val="both"/>
        <w:rPr>
          <w:rFonts w:hint="eastAsia"/>
          <w:b w:val="0"/>
          <w:bCs w:val="0"/>
          <w:sz w:val="24"/>
          <w:szCs w:val="24"/>
          <w:lang w:val="en-US" w:eastAsia="zh-CN"/>
        </w:rPr>
      </w:pPr>
      <w:r>
        <w:rPr>
          <w:rFonts w:hint="eastAsia"/>
          <w:b w:val="0"/>
          <w:bCs w:val="0"/>
          <w:sz w:val="24"/>
          <w:szCs w:val="24"/>
          <w:lang w:val="en-US" w:eastAsia="zh-CN"/>
        </w:rPr>
        <w:t>②判决机制的革命：软判决 vs 硬判决（2dB 编码增益）：由于维特比算法的核心是计算路径的“度量距离”，它完美契合了软判决（Soft Decision）机制。如果前端进行硬判决，维特比译码器只能计算离散的汉明距离（Hamming Distance），这会彻底抹杀原始波形的幅度置信度（例如将极具信心的 +1.5 与处于噪声边缘的 +0.1 粗暴等同）；而如果前端跳过硬判决，将未量化的模拟小数值原封不动地送给译码器（unquant 模式），维特比算法则能在连续空间中计算欧氏距离（Euclidean Distance）。这一算法层面的精度升级，能在不改变任何硬件和发射功率的前提下，为系统额外榨取出约 2dB 的编码增益，使瀑布崖点大幅提前。</w:t>
      </w:r>
    </w:p>
    <w:p w14:paraId="79C0C11D">
      <w:pPr>
        <w:numPr>
          <w:ilvl w:val="0"/>
          <w:numId w:val="10"/>
        </w:numPr>
        <w:jc w:val="both"/>
        <w:rPr>
          <w:rFonts w:hint="default"/>
          <w:b/>
          <w:bCs/>
          <w:sz w:val="24"/>
          <w:szCs w:val="24"/>
          <w:lang w:val="en-US" w:eastAsia="zh-CN"/>
        </w:rPr>
      </w:pPr>
      <w:r>
        <w:rPr>
          <w:rFonts w:hint="eastAsia"/>
          <w:b/>
          <w:bCs/>
          <w:sz w:val="24"/>
          <w:szCs w:val="24"/>
          <w:lang w:val="en-US" w:eastAsia="zh-CN"/>
        </w:rPr>
        <w:t>实验变量</w:t>
      </w:r>
    </w:p>
    <w:p w14:paraId="6365D788">
      <w:pPr>
        <w:widowControl w:val="0"/>
        <w:numPr>
          <w:ilvl w:val="0"/>
          <w:numId w:val="0"/>
        </w:numPr>
        <w:ind w:firstLine="420" w:firstLineChars="0"/>
        <w:jc w:val="both"/>
        <w:rPr>
          <w:rFonts w:hint="default"/>
          <w:b w:val="0"/>
          <w:bCs w:val="0"/>
          <w:sz w:val="24"/>
          <w:szCs w:val="24"/>
          <w:lang w:val="en-US" w:eastAsia="zh-CN"/>
        </w:rPr>
      </w:pPr>
      <w:r>
        <w:rPr>
          <w:rFonts w:hint="eastAsia"/>
          <w:b w:val="0"/>
          <w:bCs w:val="0"/>
          <w:sz w:val="24"/>
          <w:szCs w:val="24"/>
          <w:lang w:val="en-US" w:eastAsia="zh-CN"/>
        </w:rPr>
        <w:t>SNR，设置方式同前</w:t>
      </w:r>
    </w:p>
    <w:p w14:paraId="437BE819">
      <w:pPr>
        <w:numPr>
          <w:ilvl w:val="0"/>
          <w:numId w:val="10"/>
        </w:numPr>
        <w:jc w:val="both"/>
        <w:rPr>
          <w:rFonts w:hint="default"/>
          <w:b/>
          <w:bCs/>
          <w:sz w:val="24"/>
          <w:szCs w:val="24"/>
          <w:lang w:val="en-US" w:eastAsia="zh-CN"/>
        </w:rPr>
      </w:pPr>
      <w:r>
        <w:rPr>
          <w:rFonts w:hint="eastAsia"/>
          <w:b/>
          <w:bCs/>
          <w:sz w:val="24"/>
          <w:szCs w:val="24"/>
          <w:lang w:val="en-US" w:eastAsia="zh-CN"/>
        </w:rPr>
        <w:t>实验指标</w:t>
      </w:r>
    </w:p>
    <w:p w14:paraId="1B83C3EC">
      <w:pPr>
        <w:widowControl w:val="0"/>
        <w:numPr>
          <w:ilvl w:val="0"/>
          <w:numId w:val="11"/>
        </w:numPr>
        <w:ind w:left="425" w:leftChars="0" w:hanging="425" w:firstLineChars="0"/>
        <w:jc w:val="both"/>
        <w:rPr>
          <w:rFonts w:hint="default"/>
          <w:b/>
          <w:bCs/>
          <w:sz w:val="24"/>
          <w:szCs w:val="24"/>
          <w:lang w:val="en-US" w:eastAsia="zh-CN"/>
        </w:rPr>
      </w:pPr>
      <w:r>
        <w:rPr>
          <w:rFonts w:hint="eastAsia"/>
          <w:b/>
          <w:bCs/>
          <w:sz w:val="24"/>
          <w:szCs w:val="24"/>
          <w:lang w:val="en-US" w:eastAsia="zh-CN"/>
        </w:rPr>
        <w:t>误码性能指标：</w:t>
      </w:r>
      <w:r>
        <w:rPr>
          <w:rFonts w:hint="eastAsia" w:ascii="宋体" w:hAnsi="宋体" w:eastAsia="宋体" w:cs="宋体"/>
          <w:sz w:val="24"/>
          <w:szCs w:val="24"/>
          <w:lang w:val="en-US" w:eastAsia="zh-CN"/>
        </w:rPr>
        <w:t>同前面的BER、PER、PSNR。</w:t>
      </w:r>
    </w:p>
    <w:p w14:paraId="6BD8EFE9">
      <w:pPr>
        <w:widowControl w:val="0"/>
        <w:numPr>
          <w:ilvl w:val="0"/>
          <w:numId w:val="11"/>
        </w:numPr>
        <w:ind w:left="425" w:leftChars="0" w:hanging="425" w:firstLineChars="0"/>
        <w:jc w:val="both"/>
        <w:rPr>
          <w:rFonts w:hint="default"/>
          <w:b/>
          <w:bCs/>
          <w:sz w:val="24"/>
          <w:szCs w:val="24"/>
          <w:lang w:val="en-US" w:eastAsia="zh-CN"/>
        </w:rPr>
      </w:pPr>
      <w:r>
        <w:rPr>
          <w:rFonts w:hint="eastAsia"/>
          <w:b/>
          <w:bCs/>
          <w:sz w:val="24"/>
          <w:szCs w:val="24"/>
          <w:lang w:val="en-US" w:eastAsia="zh-CN"/>
        </w:rPr>
        <w:t>传输效率：码率R同前</w:t>
      </w:r>
    </w:p>
    <w:p w14:paraId="5A3A4E41">
      <w:pPr>
        <w:numPr>
          <w:ilvl w:val="0"/>
          <w:numId w:val="0"/>
        </w:numPr>
        <w:ind w:leftChars="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除此之外，引入辅助指标解释纠错能力：记录信道 BER，即卷积编码比特流经过信道后的误码率，并与 Viterbi 译码后的 BER_final进行对比，用于分析卷积码译码前后的误码改善效果。</w:t>
      </w:r>
    </w:p>
    <w:p w14:paraId="03A018A5">
      <w:pPr>
        <w:widowControl w:val="0"/>
        <w:numPr>
          <w:ilvl w:val="0"/>
          <w:numId w:val="0"/>
        </w:numPr>
        <w:jc w:val="both"/>
        <w:rPr>
          <w:rFonts w:hint="default"/>
          <w:b/>
          <w:bCs/>
          <w:sz w:val="24"/>
          <w:szCs w:val="24"/>
          <w:lang w:val="en-US" w:eastAsia="zh-CN"/>
        </w:rPr>
      </w:pPr>
    </w:p>
    <w:p w14:paraId="37D6BF1B">
      <w:pPr>
        <w:numPr>
          <w:ilvl w:val="0"/>
          <w:numId w:val="1"/>
        </w:numPr>
        <w:jc w:val="both"/>
        <w:rPr>
          <w:rFonts w:hint="eastAsia"/>
          <w:b/>
          <w:bCs/>
          <w:sz w:val="24"/>
          <w:szCs w:val="24"/>
          <w:lang w:val="en-US" w:eastAsia="zh-CN"/>
        </w:rPr>
      </w:pPr>
      <w:r>
        <w:rPr>
          <w:rFonts w:hint="eastAsia"/>
          <w:b/>
          <w:bCs/>
          <w:sz w:val="24"/>
          <w:szCs w:val="24"/>
          <w:lang w:val="en-US" w:eastAsia="zh-CN"/>
        </w:rPr>
        <w:t>联合实验</w:t>
      </w:r>
    </w:p>
    <w:p w14:paraId="04BC954E">
      <w:pPr>
        <w:widowControl w:val="0"/>
        <w:numPr>
          <w:ilvl w:val="0"/>
          <w:numId w:val="0"/>
        </w:numPr>
        <w:jc w:val="both"/>
        <w:rPr>
          <w:rFonts w:hint="eastAsia"/>
          <w:b/>
          <w:bCs/>
          <w:sz w:val="24"/>
          <w:szCs w:val="24"/>
          <w:lang w:val="en-US" w:eastAsia="zh-CN"/>
        </w:rPr>
      </w:pPr>
      <w:r>
        <w:rPr>
          <w:rFonts w:hint="eastAsia"/>
          <w:b/>
          <w:bCs/>
          <w:sz w:val="24"/>
          <w:szCs w:val="24"/>
          <w:lang w:val="en-US" w:eastAsia="zh-CN"/>
        </w:rPr>
        <w:t>通用实验指标：</w:t>
      </w:r>
    </w:p>
    <w:p w14:paraId="495D8AB7">
      <w:pPr>
        <w:widowControl w:val="0"/>
        <w:numPr>
          <w:ilvl w:val="0"/>
          <w:numId w:val="0"/>
        </w:numPr>
        <w:jc w:val="both"/>
        <w:rPr>
          <w:rFonts w:hint="eastAsia"/>
          <w:b/>
          <w:bCs/>
          <w:sz w:val="24"/>
          <w:szCs w:val="24"/>
          <w:lang w:val="en-US" w:eastAsia="zh-CN"/>
        </w:rPr>
      </w:pPr>
      <w:r>
        <w:rPr>
          <w:rFonts w:hint="eastAsia"/>
          <w:b/>
          <w:bCs/>
          <w:sz w:val="24"/>
          <w:szCs w:val="24"/>
          <w:lang w:val="en-US" w:eastAsia="zh-CN"/>
        </w:rPr>
        <w:t>误码性能</w:t>
      </w:r>
      <w:r>
        <w:rPr>
          <w:rFonts w:hint="eastAsia" w:ascii="宋体" w:hAnsi="宋体" w:eastAsia="宋体" w:cs="宋体"/>
          <w:sz w:val="24"/>
          <w:szCs w:val="24"/>
          <w:lang w:val="en-US" w:eastAsia="zh-CN"/>
        </w:rPr>
        <w:t>BER、PER、PSNR</w:t>
      </w:r>
    </w:p>
    <w:p w14:paraId="347A86FC">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系统传输效率：R_total​=原始比特数/信道编码后比特数</w:t>
      </w:r>
    </w:p>
    <w:p w14:paraId="68D2FDFD">
      <w:pPr>
        <w:widowControl w:val="0"/>
        <w:numPr>
          <w:ilvl w:val="0"/>
          <w:numId w:val="0"/>
        </w:numPr>
        <w:jc w:val="both"/>
        <w:rPr>
          <w:rFonts w:hint="eastAsia"/>
          <w:b w:val="0"/>
          <w:bCs w:val="0"/>
          <w:sz w:val="24"/>
          <w:szCs w:val="24"/>
          <w:lang w:val="en-US" w:eastAsia="zh-CN"/>
        </w:rPr>
      </w:pPr>
    </w:p>
    <w:tbl>
      <w:tblPr>
        <w:tblStyle w:val="4"/>
        <w:tblW w:w="9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420"/>
        <w:gridCol w:w="1689"/>
        <w:gridCol w:w="1646"/>
        <w:gridCol w:w="1826"/>
      </w:tblGrid>
      <w:tr w14:paraId="4C26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2840" w:type="dxa"/>
            <w:vMerge w:val="restart"/>
          </w:tcPr>
          <w:p w14:paraId="2900DBA9">
            <w:pPr>
              <w:widowControl w:val="0"/>
              <w:numPr>
                <w:ilvl w:val="0"/>
                <w:numId w:val="0"/>
              </w:numPr>
              <w:jc w:val="both"/>
              <w:rPr>
                <w:rFonts w:hint="default"/>
                <w:b/>
                <w:bCs/>
                <w:sz w:val="24"/>
                <w:szCs w:val="24"/>
                <w:vertAlign w:val="baseline"/>
                <w:lang w:val="en-US" w:eastAsia="zh-CN"/>
              </w:rPr>
            </w:pPr>
          </w:p>
        </w:tc>
        <w:tc>
          <w:tcPr>
            <w:tcW w:w="3109" w:type="dxa"/>
            <w:gridSpan w:val="2"/>
          </w:tcPr>
          <w:p w14:paraId="65EBB1E4">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汉明</w:t>
            </w:r>
          </w:p>
        </w:tc>
        <w:tc>
          <w:tcPr>
            <w:tcW w:w="3472" w:type="dxa"/>
            <w:gridSpan w:val="2"/>
          </w:tcPr>
          <w:p w14:paraId="347256BB">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卷积</w:t>
            </w:r>
          </w:p>
        </w:tc>
      </w:tr>
      <w:tr w14:paraId="4C5D2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2840" w:type="dxa"/>
            <w:vMerge w:val="continue"/>
          </w:tcPr>
          <w:p w14:paraId="5A27DEED">
            <w:pPr>
              <w:widowControl w:val="0"/>
              <w:jc w:val="both"/>
            </w:pPr>
          </w:p>
        </w:tc>
        <w:tc>
          <w:tcPr>
            <w:tcW w:w="1420" w:type="dxa"/>
          </w:tcPr>
          <w:p w14:paraId="0E4D1082">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变量</w:t>
            </w:r>
          </w:p>
        </w:tc>
        <w:tc>
          <w:tcPr>
            <w:tcW w:w="1689" w:type="dxa"/>
          </w:tcPr>
          <w:p w14:paraId="18BDEF59">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辅助实验指标</w:t>
            </w:r>
          </w:p>
        </w:tc>
        <w:tc>
          <w:tcPr>
            <w:tcW w:w="1646" w:type="dxa"/>
          </w:tcPr>
          <w:p w14:paraId="7500FE07">
            <w:pPr>
              <w:widowControl w:val="0"/>
              <w:jc w:val="both"/>
              <w:rPr>
                <w:rFonts w:hint="default"/>
                <w:b/>
                <w:bCs/>
                <w:sz w:val="24"/>
                <w:szCs w:val="24"/>
                <w:vertAlign w:val="baseline"/>
                <w:lang w:val="en-US" w:eastAsia="zh-CN"/>
              </w:rPr>
            </w:pPr>
            <w:r>
              <w:rPr>
                <w:rFonts w:hint="eastAsia"/>
                <w:b/>
                <w:bCs/>
                <w:sz w:val="24"/>
                <w:szCs w:val="24"/>
                <w:vertAlign w:val="baseline"/>
                <w:lang w:val="en-US" w:eastAsia="zh-CN"/>
              </w:rPr>
              <w:t>变量</w:t>
            </w:r>
          </w:p>
        </w:tc>
        <w:tc>
          <w:tcPr>
            <w:tcW w:w="1826" w:type="dxa"/>
          </w:tcPr>
          <w:p w14:paraId="78ACF330">
            <w:pPr>
              <w:widowControl w:val="0"/>
              <w:jc w:val="both"/>
              <w:rPr>
                <w:rFonts w:hint="default"/>
                <w:b/>
                <w:bCs/>
                <w:sz w:val="24"/>
                <w:szCs w:val="24"/>
                <w:vertAlign w:val="baseline"/>
                <w:lang w:val="en-US" w:eastAsia="zh-CN"/>
              </w:rPr>
            </w:pPr>
            <w:r>
              <w:rPr>
                <w:rFonts w:hint="eastAsia"/>
                <w:b/>
                <w:bCs/>
                <w:sz w:val="24"/>
                <w:szCs w:val="24"/>
                <w:vertAlign w:val="baseline"/>
                <w:lang w:val="en-US" w:eastAsia="zh-CN"/>
              </w:rPr>
              <w:t>辅助实验指标</w:t>
            </w:r>
          </w:p>
        </w:tc>
      </w:tr>
      <w:tr w14:paraId="44DB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2" w:hRule="atLeast"/>
        </w:trPr>
        <w:tc>
          <w:tcPr>
            <w:tcW w:w="2840" w:type="dxa"/>
          </w:tcPr>
          <w:p w14:paraId="4B8C23A1">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哈夫曼</w:t>
            </w:r>
          </w:p>
        </w:tc>
        <w:tc>
          <w:tcPr>
            <w:tcW w:w="1420" w:type="dxa"/>
          </w:tcPr>
          <w:p w14:paraId="03C31688">
            <w:pPr>
              <w:widowControl w:val="0"/>
              <w:numPr>
                <w:ilvl w:val="0"/>
                <w:numId w:val="0"/>
              </w:numPr>
              <w:jc w:val="both"/>
              <w:rPr>
                <w:rFonts w:hint="eastAsia"/>
                <w:b/>
                <w:bCs/>
                <w:sz w:val="24"/>
                <w:szCs w:val="24"/>
                <w:lang w:val="en-US" w:eastAsia="zh-CN"/>
              </w:rPr>
            </w:pPr>
            <w:r>
              <w:rPr>
                <w:rFonts w:hint="eastAsia"/>
                <w:b/>
                <w:bCs/>
                <w:sz w:val="24"/>
                <w:szCs w:val="24"/>
                <w:lang w:val="en-US" w:eastAsia="zh-CN"/>
              </w:rPr>
              <w:t>SNR</w:t>
            </w:r>
          </w:p>
          <w:p w14:paraId="6D8BB47D">
            <w:pPr>
              <w:widowControl w:val="0"/>
              <w:numPr>
                <w:ilvl w:val="0"/>
                <w:numId w:val="0"/>
              </w:numPr>
              <w:jc w:val="both"/>
              <w:rPr>
                <w:rFonts w:hint="eastAsia"/>
                <w:b/>
                <w:bCs/>
                <w:sz w:val="24"/>
                <w:szCs w:val="24"/>
                <w:lang w:val="en-US" w:eastAsia="zh-CN"/>
              </w:rPr>
            </w:pPr>
          </w:p>
          <w:p w14:paraId="0311BF09">
            <w:pPr>
              <w:widowControl w:val="0"/>
              <w:numPr>
                <w:ilvl w:val="0"/>
                <w:numId w:val="0"/>
              </w:numPr>
              <w:jc w:val="both"/>
              <w:rPr>
                <w:rFonts w:hint="eastAsia"/>
                <w:b/>
                <w:bCs/>
                <w:sz w:val="24"/>
                <w:szCs w:val="24"/>
                <w:lang w:val="en-US" w:eastAsia="zh-CN"/>
              </w:rPr>
            </w:pPr>
            <w:r>
              <w:rPr>
                <w:rFonts w:hint="eastAsia"/>
                <w:b/>
                <w:bCs/>
                <w:sz w:val="24"/>
                <w:szCs w:val="24"/>
                <w:lang w:val="en-US" w:eastAsia="zh-CN"/>
              </w:rPr>
              <w:t>汉明码k,n</w:t>
            </w:r>
          </w:p>
          <w:p w14:paraId="06DE971F">
            <w:pPr>
              <w:widowControl w:val="0"/>
              <w:numPr>
                <w:ilvl w:val="0"/>
                <w:numId w:val="0"/>
              </w:numPr>
              <w:jc w:val="both"/>
              <w:rPr>
                <w:rFonts w:hint="eastAsia"/>
                <w:b/>
                <w:bCs/>
                <w:sz w:val="24"/>
                <w:szCs w:val="24"/>
                <w:lang w:val="en-US" w:eastAsia="zh-CN"/>
              </w:rPr>
            </w:pPr>
          </w:p>
          <w:p w14:paraId="7DCB8550">
            <w:pPr>
              <w:widowControl w:val="0"/>
              <w:numPr>
                <w:ilvl w:val="0"/>
                <w:numId w:val="0"/>
              </w:numPr>
              <w:jc w:val="both"/>
              <w:rPr>
                <w:i/>
                <w:iCs/>
              </w:rPr>
            </w:pPr>
            <w:r>
              <w:rPr>
                <w:i/>
                <w:iCs/>
              </w:rPr>
              <w:t>(固定</w:t>
            </w:r>
            <w:r>
              <w:rPr>
                <w:rFonts w:hint="eastAsia"/>
                <w:i/>
                <w:iCs/>
                <w:lang w:val="en-US" w:eastAsia="zh-CN"/>
              </w:rPr>
              <w:t>哈夫曼</w:t>
            </w:r>
            <w:r>
              <w:rPr>
                <w:i/>
                <w:iCs/>
              </w:rPr>
              <w:t xml:space="preserve"> block=1)</w:t>
            </w:r>
          </w:p>
          <w:p w14:paraId="2086F386">
            <w:pPr>
              <w:widowControl w:val="0"/>
              <w:numPr>
                <w:ilvl w:val="0"/>
                <w:numId w:val="0"/>
              </w:numPr>
              <w:jc w:val="both"/>
              <w:rPr>
                <w:rFonts w:hint="default"/>
                <w:i/>
                <w:iCs/>
                <w:lang w:val="en-US" w:eastAsia="zh-CN"/>
              </w:rPr>
            </w:pPr>
          </w:p>
        </w:tc>
        <w:tc>
          <w:tcPr>
            <w:tcW w:w="1689" w:type="dxa"/>
          </w:tcPr>
          <w:p w14:paraId="1FE80BBD">
            <w:pPr>
              <w:widowControl w:val="0"/>
              <w:numPr>
                <w:ilvl w:val="0"/>
                <w:numId w:val="0"/>
              </w:numPr>
              <w:jc w:val="both"/>
              <w:rPr>
                <w:rFonts w:hint="eastAsia"/>
                <w:b/>
                <w:bCs/>
                <w:sz w:val="24"/>
                <w:szCs w:val="24"/>
                <w:lang w:val="en-US" w:eastAsia="zh-CN"/>
              </w:rPr>
            </w:pPr>
            <w:r>
              <w:rPr>
                <w:rFonts w:hint="eastAsia"/>
                <w:b w:val="0"/>
                <w:bCs w:val="0"/>
                <w:sz w:val="24"/>
                <w:szCs w:val="24"/>
                <w:lang w:val="en-US" w:eastAsia="zh-CN"/>
              </w:rPr>
              <w:t>Pcorrect</w:t>
            </w:r>
          </w:p>
        </w:tc>
        <w:tc>
          <w:tcPr>
            <w:tcW w:w="1646" w:type="dxa"/>
          </w:tcPr>
          <w:p w14:paraId="54A0B32B">
            <w:pPr>
              <w:widowControl w:val="0"/>
              <w:numPr>
                <w:ilvl w:val="0"/>
                <w:numId w:val="0"/>
              </w:numPr>
              <w:jc w:val="both"/>
              <w:rPr>
                <w:rFonts w:hint="eastAsia"/>
                <w:b/>
                <w:bCs/>
                <w:sz w:val="24"/>
                <w:szCs w:val="24"/>
                <w:lang w:val="en-US" w:eastAsia="zh-CN"/>
              </w:rPr>
            </w:pPr>
            <w:r>
              <w:rPr>
                <w:rFonts w:hint="eastAsia"/>
                <w:b/>
                <w:bCs/>
                <w:sz w:val="24"/>
                <w:szCs w:val="24"/>
                <w:lang w:val="en-US" w:eastAsia="zh-CN"/>
              </w:rPr>
              <w:t>SNR</w:t>
            </w:r>
          </w:p>
          <w:p w14:paraId="6E78D0DC">
            <w:pPr>
              <w:widowControl w:val="0"/>
              <w:numPr>
                <w:ilvl w:val="0"/>
                <w:numId w:val="0"/>
              </w:numPr>
              <w:jc w:val="both"/>
              <w:rPr>
                <w:rFonts w:hint="default"/>
                <w:b/>
                <w:bCs/>
                <w:sz w:val="24"/>
                <w:szCs w:val="24"/>
                <w:vertAlign w:val="baseline"/>
                <w:lang w:val="en-US" w:eastAsia="zh-CN"/>
              </w:rPr>
            </w:pPr>
            <w:r>
              <w:rPr>
                <w:rFonts w:hint="eastAsia"/>
                <w:b/>
                <w:bCs/>
                <w:sz w:val="24"/>
                <w:szCs w:val="24"/>
                <w:lang w:val="en-US" w:eastAsia="zh-CN"/>
              </w:rPr>
              <w:t>哈夫曼block</w:t>
            </w:r>
          </w:p>
        </w:tc>
        <w:tc>
          <w:tcPr>
            <w:tcW w:w="1826" w:type="dxa"/>
          </w:tcPr>
          <w:p w14:paraId="4EBC9D2F">
            <w:pPr>
              <w:widowControl w:val="0"/>
              <w:numPr>
                <w:ilvl w:val="0"/>
                <w:numId w:val="0"/>
              </w:numPr>
              <w:jc w:val="both"/>
              <w:rPr>
                <w:rFonts w:hint="default"/>
                <w:b/>
                <w:bCs/>
                <w:sz w:val="24"/>
                <w:szCs w:val="24"/>
                <w:lang w:val="en-US" w:eastAsia="zh-CN"/>
              </w:rPr>
            </w:pPr>
            <w:r>
              <w:rPr>
                <w:rFonts w:hint="eastAsia"/>
                <w:b/>
                <w:bCs/>
                <w:sz w:val="24"/>
                <w:szCs w:val="24"/>
                <w:lang w:val="en-US" w:eastAsia="zh-CN"/>
              </w:rPr>
              <w:t>信道BER</w:t>
            </w:r>
          </w:p>
        </w:tc>
      </w:tr>
      <w:tr w14:paraId="2BCA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6821CF">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费诺</w:t>
            </w:r>
          </w:p>
        </w:tc>
        <w:tc>
          <w:tcPr>
            <w:tcW w:w="1420" w:type="dxa"/>
          </w:tcPr>
          <w:p w14:paraId="3A1AD562">
            <w:pPr>
              <w:pStyle w:val="2"/>
              <w:keepNext w:val="0"/>
              <w:keepLines w:val="0"/>
              <w:widowControl/>
              <w:suppressLineNumbers w:val="0"/>
            </w:pPr>
            <w:r>
              <w:rPr>
                <w:b/>
                <w:bCs/>
              </w:rPr>
              <w:t>SNR</w:t>
            </w:r>
          </w:p>
          <w:p w14:paraId="22A40920">
            <w:pPr>
              <w:pStyle w:val="2"/>
              <w:keepNext w:val="0"/>
              <w:keepLines w:val="0"/>
              <w:widowControl/>
              <w:suppressLineNumbers w:val="0"/>
            </w:pPr>
            <w:r>
              <w:rPr>
                <w:b/>
                <w:bCs/>
              </w:rPr>
              <w:t>汉明码 k,n</w:t>
            </w:r>
          </w:p>
          <w:p w14:paraId="72AFCE3E">
            <w:pPr>
              <w:pStyle w:val="2"/>
              <w:keepNext w:val="0"/>
              <w:keepLines w:val="0"/>
              <w:widowControl/>
              <w:suppressLineNumbers w:val="0"/>
              <w:rPr>
                <w:rFonts w:hint="default"/>
                <w:b/>
                <w:bCs/>
                <w:sz w:val="24"/>
                <w:szCs w:val="24"/>
                <w:vertAlign w:val="baseline"/>
                <w:lang w:val="en-US" w:eastAsia="zh-CN"/>
              </w:rPr>
            </w:pPr>
            <w:r>
              <w:rPr>
                <w:i/>
                <w:iCs/>
              </w:rPr>
              <w:t>(固定费诺 block=1)</w:t>
            </w:r>
          </w:p>
        </w:tc>
        <w:tc>
          <w:tcPr>
            <w:tcW w:w="1689" w:type="dxa"/>
          </w:tcPr>
          <w:p w14:paraId="74C3BBC2">
            <w:pPr>
              <w:widowControl w:val="0"/>
              <w:numPr>
                <w:ilvl w:val="0"/>
                <w:numId w:val="0"/>
              </w:numPr>
              <w:jc w:val="both"/>
              <w:rPr>
                <w:rFonts w:hint="default"/>
                <w:b/>
                <w:bCs/>
                <w:sz w:val="24"/>
                <w:szCs w:val="24"/>
                <w:vertAlign w:val="baseline"/>
                <w:lang w:val="en-US" w:eastAsia="zh-CN"/>
              </w:rPr>
            </w:pPr>
            <w:r>
              <w:rPr>
                <w:rFonts w:hint="eastAsia"/>
                <w:b w:val="0"/>
                <w:bCs w:val="0"/>
                <w:sz w:val="24"/>
                <w:szCs w:val="24"/>
                <w:lang w:val="en-US" w:eastAsia="zh-CN"/>
              </w:rPr>
              <w:t>Pcorrect</w:t>
            </w:r>
          </w:p>
        </w:tc>
        <w:tc>
          <w:tcPr>
            <w:tcW w:w="1646" w:type="dxa"/>
          </w:tcPr>
          <w:p w14:paraId="65DD0840">
            <w:pPr>
              <w:pStyle w:val="2"/>
              <w:keepNext w:val="0"/>
              <w:keepLines w:val="0"/>
              <w:widowControl/>
              <w:suppressLineNumbers w:val="0"/>
            </w:pPr>
            <w:r>
              <w:rPr>
                <w:b/>
                <w:bCs/>
              </w:rPr>
              <w:t>SNR</w:t>
            </w:r>
          </w:p>
          <w:p w14:paraId="615F0C08">
            <w:pPr>
              <w:pStyle w:val="2"/>
              <w:keepNext w:val="0"/>
              <w:keepLines w:val="0"/>
              <w:widowControl/>
              <w:suppressLineNumbers w:val="0"/>
            </w:pPr>
            <w:r>
              <w:rPr>
                <w:b/>
                <w:bCs/>
              </w:rPr>
              <w:t>判决方式 (软/硬判决)</w:t>
            </w:r>
          </w:p>
          <w:p w14:paraId="0CF87BA2">
            <w:pPr>
              <w:pStyle w:val="2"/>
              <w:keepNext w:val="0"/>
              <w:keepLines w:val="0"/>
              <w:widowControl/>
              <w:suppressLineNumbers w:val="0"/>
            </w:pPr>
            <w:r>
              <w:rPr>
                <w:i/>
                <w:iCs/>
              </w:rPr>
              <w:t>(固定费诺 block=1)</w:t>
            </w:r>
          </w:p>
          <w:p w14:paraId="7D85CC80">
            <w:pPr>
              <w:widowControl w:val="0"/>
              <w:numPr>
                <w:ilvl w:val="0"/>
                <w:numId w:val="0"/>
              </w:numPr>
              <w:jc w:val="both"/>
              <w:rPr>
                <w:rFonts w:hint="default"/>
                <w:b/>
                <w:bCs/>
                <w:sz w:val="24"/>
                <w:szCs w:val="24"/>
                <w:vertAlign w:val="baseline"/>
                <w:lang w:val="en-US" w:eastAsia="zh-CN"/>
              </w:rPr>
            </w:pPr>
          </w:p>
        </w:tc>
        <w:tc>
          <w:tcPr>
            <w:tcW w:w="1826" w:type="dxa"/>
          </w:tcPr>
          <w:p w14:paraId="60D6CB9F">
            <w:pPr>
              <w:widowControl w:val="0"/>
              <w:numPr>
                <w:ilvl w:val="0"/>
                <w:numId w:val="0"/>
              </w:numPr>
              <w:jc w:val="both"/>
              <w:rPr>
                <w:rFonts w:hint="default"/>
                <w:b/>
                <w:bCs/>
                <w:sz w:val="24"/>
                <w:szCs w:val="24"/>
                <w:lang w:val="en-US" w:eastAsia="zh-CN"/>
              </w:rPr>
            </w:pPr>
            <w:r>
              <w:rPr>
                <w:rFonts w:hint="eastAsia"/>
                <w:b/>
                <w:bCs/>
                <w:sz w:val="24"/>
                <w:szCs w:val="24"/>
                <w:lang w:val="en-US" w:eastAsia="zh-CN"/>
              </w:rPr>
              <w:t>信</w:t>
            </w:r>
            <w:r>
              <w:rPr>
                <w:rFonts w:hint="eastAsia"/>
                <w:b/>
                <w:bCs/>
                <w:sz w:val="24"/>
                <w:szCs w:val="24"/>
                <w:lang w:val="en-US" w:eastAsia="zh-CN"/>
              </w:rPr>
              <w:t>道 BER</w:t>
            </w:r>
          </w:p>
        </w:tc>
      </w:tr>
      <w:tr w14:paraId="45D1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C4A014C">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香农</w:t>
            </w:r>
          </w:p>
        </w:tc>
        <w:tc>
          <w:tcPr>
            <w:tcW w:w="1420" w:type="dxa"/>
          </w:tcPr>
          <w:p w14:paraId="0D4A0FDC">
            <w:pPr>
              <w:pStyle w:val="2"/>
              <w:keepNext w:val="0"/>
              <w:keepLines w:val="0"/>
              <w:widowControl/>
              <w:suppressLineNumbers w:val="0"/>
            </w:pPr>
            <w:r>
              <w:rPr>
                <w:b/>
                <w:bCs/>
              </w:rPr>
              <w:t>SNR</w:t>
            </w:r>
          </w:p>
          <w:p w14:paraId="1A246FDA">
            <w:pPr>
              <w:pStyle w:val="2"/>
              <w:keepNext w:val="0"/>
              <w:keepLines w:val="0"/>
              <w:widowControl/>
              <w:suppressLineNumbers w:val="0"/>
            </w:pPr>
            <w:r>
              <w:rPr>
                <w:b/>
                <w:bCs/>
              </w:rPr>
              <w:t>汉明码 k,n</w:t>
            </w:r>
          </w:p>
          <w:p w14:paraId="219B7F20">
            <w:pPr>
              <w:pStyle w:val="2"/>
              <w:keepNext w:val="0"/>
              <w:keepLines w:val="0"/>
              <w:widowControl/>
              <w:suppressLineNumbers w:val="0"/>
            </w:pPr>
            <w:r>
              <w:rPr>
                <w:i/>
                <w:iCs/>
              </w:rPr>
              <w:t>(固定香农 block=1)</w:t>
            </w:r>
          </w:p>
          <w:p w14:paraId="69F20F61">
            <w:pPr>
              <w:widowControl w:val="0"/>
              <w:numPr>
                <w:ilvl w:val="0"/>
                <w:numId w:val="0"/>
              </w:numPr>
              <w:jc w:val="both"/>
              <w:rPr>
                <w:rFonts w:hint="default"/>
                <w:b/>
                <w:bCs/>
                <w:sz w:val="24"/>
                <w:szCs w:val="24"/>
                <w:vertAlign w:val="baseline"/>
                <w:lang w:val="en-US" w:eastAsia="zh-CN"/>
              </w:rPr>
            </w:pPr>
          </w:p>
        </w:tc>
        <w:tc>
          <w:tcPr>
            <w:tcW w:w="1689" w:type="dxa"/>
          </w:tcPr>
          <w:p w14:paraId="142034EB">
            <w:pPr>
              <w:widowControl w:val="0"/>
              <w:numPr>
                <w:ilvl w:val="0"/>
                <w:numId w:val="0"/>
              </w:numPr>
              <w:jc w:val="both"/>
              <w:rPr>
                <w:rFonts w:hint="default"/>
                <w:b/>
                <w:bCs/>
                <w:sz w:val="24"/>
                <w:szCs w:val="24"/>
                <w:vertAlign w:val="baseline"/>
                <w:lang w:val="en-US" w:eastAsia="zh-CN"/>
              </w:rPr>
            </w:pPr>
            <w:r>
              <w:rPr>
                <w:rFonts w:hint="eastAsia"/>
                <w:b w:val="0"/>
                <w:bCs w:val="0"/>
                <w:sz w:val="24"/>
                <w:szCs w:val="24"/>
                <w:lang w:val="en-US" w:eastAsia="zh-CN"/>
              </w:rPr>
              <w:t>Pcorrect</w:t>
            </w:r>
          </w:p>
        </w:tc>
        <w:tc>
          <w:tcPr>
            <w:tcW w:w="1646" w:type="dxa"/>
          </w:tcPr>
          <w:p w14:paraId="7D46B57A">
            <w:pPr>
              <w:widowControl w:val="0"/>
              <w:numPr>
                <w:ilvl w:val="0"/>
                <w:numId w:val="0"/>
              </w:numPr>
              <w:jc w:val="both"/>
              <w:rPr>
                <w:rFonts w:hint="eastAsia"/>
                <w:b/>
                <w:bCs/>
                <w:sz w:val="24"/>
                <w:szCs w:val="24"/>
                <w:vertAlign w:val="baseline"/>
                <w:lang w:val="en-US" w:eastAsia="zh-CN"/>
              </w:rPr>
            </w:pPr>
            <w:r>
              <w:rPr>
                <w:rFonts w:hint="eastAsia"/>
                <w:b/>
                <w:bCs/>
                <w:sz w:val="24"/>
                <w:szCs w:val="24"/>
                <w:vertAlign w:val="baseline"/>
                <w:lang w:val="en-US" w:eastAsia="zh-CN"/>
              </w:rPr>
              <w:t>SNR</w:t>
            </w:r>
          </w:p>
          <w:p w14:paraId="0E604242">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香农block</w:t>
            </w:r>
          </w:p>
        </w:tc>
        <w:tc>
          <w:tcPr>
            <w:tcW w:w="1826" w:type="dxa"/>
          </w:tcPr>
          <w:p w14:paraId="7BECA379">
            <w:pPr>
              <w:widowControl w:val="0"/>
              <w:numPr>
                <w:ilvl w:val="0"/>
                <w:numId w:val="0"/>
              </w:numPr>
              <w:jc w:val="both"/>
              <w:rPr>
                <w:rFonts w:hint="default"/>
                <w:b/>
                <w:bCs/>
                <w:sz w:val="24"/>
                <w:szCs w:val="24"/>
                <w:vertAlign w:val="baseline"/>
                <w:lang w:val="en-US" w:eastAsia="zh-CN"/>
              </w:rPr>
            </w:pPr>
            <w:r>
              <w:rPr>
                <w:rFonts w:hint="eastAsia"/>
                <w:b/>
                <w:bCs/>
                <w:sz w:val="24"/>
                <w:szCs w:val="24"/>
                <w:vertAlign w:val="baseline"/>
                <w:lang w:val="en-US" w:eastAsia="zh-CN"/>
              </w:rPr>
              <w:t>信道BER</w:t>
            </w:r>
            <w:bookmarkStart w:id="0" w:name="_GoBack"/>
            <w:bookmarkEnd w:id="0"/>
          </w:p>
        </w:tc>
      </w:tr>
    </w:tbl>
    <w:p w14:paraId="1BD2766E">
      <w:pPr>
        <w:numPr>
          <w:ilvl w:val="0"/>
          <w:numId w:val="0"/>
        </w:numPr>
        <w:jc w:val="both"/>
        <w:rPr>
          <w:rFonts w:hint="eastAsia"/>
          <w:b/>
          <w:bCs/>
          <w:sz w:val="24"/>
          <w:szCs w:val="24"/>
          <w:lang w:val="en-US" w:eastAsia="zh-CN"/>
        </w:rPr>
      </w:pPr>
    </w:p>
    <w:p w14:paraId="2B5759D7">
      <w:pPr>
        <w:ind w:firstLine="420" w:firstLineChars="0"/>
        <w:jc w:val="both"/>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A70D7"/>
    <w:multiLevelType w:val="singleLevel"/>
    <w:tmpl w:val="A33A70D7"/>
    <w:lvl w:ilvl="0" w:tentative="0">
      <w:start w:val="1"/>
      <w:numFmt w:val="decimal"/>
      <w:suff w:val="nothing"/>
      <w:lvlText w:val="（%1）"/>
      <w:lvlJc w:val="left"/>
    </w:lvl>
  </w:abstractNum>
  <w:abstractNum w:abstractNumId="1">
    <w:nsid w:val="AFC419EF"/>
    <w:multiLevelType w:val="singleLevel"/>
    <w:tmpl w:val="AFC419EF"/>
    <w:lvl w:ilvl="0" w:tentative="0">
      <w:start w:val="1"/>
      <w:numFmt w:val="upperLetter"/>
      <w:lvlText w:val="%1."/>
      <w:lvlJc w:val="left"/>
      <w:pPr>
        <w:ind w:left="425" w:hanging="425"/>
      </w:pPr>
      <w:rPr>
        <w:rFonts w:hint="default"/>
      </w:rPr>
    </w:lvl>
  </w:abstractNum>
  <w:abstractNum w:abstractNumId="2">
    <w:nsid w:val="B96ECBE6"/>
    <w:multiLevelType w:val="singleLevel"/>
    <w:tmpl w:val="B96ECBE6"/>
    <w:lvl w:ilvl="0" w:tentative="0">
      <w:start w:val="1"/>
      <w:numFmt w:val="upperLetter"/>
      <w:lvlText w:val="%1."/>
      <w:lvlJc w:val="left"/>
      <w:pPr>
        <w:ind w:left="425" w:hanging="425"/>
      </w:pPr>
      <w:rPr>
        <w:rFonts w:hint="default"/>
      </w:rPr>
    </w:lvl>
  </w:abstractNum>
  <w:abstractNum w:abstractNumId="3">
    <w:nsid w:val="DA85C72D"/>
    <w:multiLevelType w:val="singleLevel"/>
    <w:tmpl w:val="DA85C72D"/>
    <w:lvl w:ilvl="0" w:tentative="0">
      <w:start w:val="2"/>
      <w:numFmt w:val="decimal"/>
      <w:suff w:val="nothing"/>
      <w:lvlText w:val="（%1）"/>
      <w:lvlJc w:val="left"/>
    </w:lvl>
  </w:abstractNum>
  <w:abstractNum w:abstractNumId="4">
    <w:nsid w:val="E7BAAB21"/>
    <w:multiLevelType w:val="singleLevel"/>
    <w:tmpl w:val="E7BAAB21"/>
    <w:lvl w:ilvl="0" w:tentative="0">
      <w:start w:val="3"/>
      <w:numFmt w:val="chineseCounting"/>
      <w:suff w:val="nothing"/>
      <w:lvlText w:val="%1、"/>
      <w:lvlJc w:val="left"/>
      <w:rPr>
        <w:rFonts w:hint="eastAsia"/>
      </w:rPr>
    </w:lvl>
  </w:abstractNum>
  <w:abstractNum w:abstractNumId="5">
    <w:nsid w:val="1047BB3F"/>
    <w:multiLevelType w:val="singleLevel"/>
    <w:tmpl w:val="1047BB3F"/>
    <w:lvl w:ilvl="0" w:tentative="0">
      <w:start w:val="3"/>
      <w:numFmt w:val="decimal"/>
      <w:suff w:val="nothing"/>
      <w:lvlText w:val="（%1）"/>
      <w:lvlJc w:val="left"/>
    </w:lvl>
  </w:abstractNum>
  <w:abstractNum w:abstractNumId="6">
    <w:nsid w:val="1DD0859B"/>
    <w:multiLevelType w:val="singleLevel"/>
    <w:tmpl w:val="1DD0859B"/>
    <w:lvl w:ilvl="0" w:tentative="0">
      <w:start w:val="1"/>
      <w:numFmt w:val="decimalEnclosedCircleChinese"/>
      <w:suff w:val="nothing"/>
      <w:lvlText w:val="%1　"/>
      <w:lvlJc w:val="left"/>
      <w:pPr>
        <w:ind w:left="0" w:firstLine="400"/>
      </w:pPr>
      <w:rPr>
        <w:rFonts w:hint="eastAsia"/>
      </w:rPr>
    </w:lvl>
  </w:abstractNum>
  <w:abstractNum w:abstractNumId="7">
    <w:nsid w:val="293E1C68"/>
    <w:multiLevelType w:val="singleLevel"/>
    <w:tmpl w:val="293E1C68"/>
    <w:lvl w:ilvl="0" w:tentative="0">
      <w:start w:val="1"/>
      <w:numFmt w:val="upperLetter"/>
      <w:lvlText w:val="%1."/>
      <w:lvlJc w:val="left"/>
      <w:pPr>
        <w:ind w:left="425" w:hanging="425"/>
      </w:pPr>
      <w:rPr>
        <w:rFonts w:hint="default"/>
      </w:rPr>
    </w:lvl>
  </w:abstractNum>
  <w:abstractNum w:abstractNumId="8">
    <w:nsid w:val="490DC6A9"/>
    <w:multiLevelType w:val="singleLevel"/>
    <w:tmpl w:val="490DC6A9"/>
    <w:lvl w:ilvl="0" w:tentative="0">
      <w:start w:val="1"/>
      <w:numFmt w:val="decimal"/>
      <w:suff w:val="nothing"/>
      <w:lvlText w:val="（%1）"/>
      <w:lvlJc w:val="left"/>
    </w:lvl>
  </w:abstractNum>
  <w:abstractNum w:abstractNumId="9">
    <w:nsid w:val="5E5AB861"/>
    <w:multiLevelType w:val="singleLevel"/>
    <w:tmpl w:val="5E5AB861"/>
    <w:lvl w:ilvl="0" w:tentative="0">
      <w:start w:val="1"/>
      <w:numFmt w:val="chineseCounting"/>
      <w:suff w:val="nothing"/>
      <w:lvlText w:val="第%1，"/>
      <w:lvlJc w:val="left"/>
      <w:rPr>
        <w:rFonts w:hint="eastAsia"/>
      </w:rPr>
    </w:lvl>
  </w:abstractNum>
  <w:abstractNum w:abstractNumId="10">
    <w:nsid w:val="5F95B177"/>
    <w:multiLevelType w:val="singleLevel"/>
    <w:tmpl w:val="5F95B177"/>
    <w:lvl w:ilvl="0" w:tentative="0">
      <w:start w:val="1"/>
      <w:numFmt w:val="decimal"/>
      <w:suff w:val="nothing"/>
      <w:lvlText w:val="%1、"/>
      <w:lvlJc w:val="left"/>
    </w:lvl>
  </w:abstractNum>
  <w:num w:numId="1">
    <w:abstractNumId w:val="4"/>
  </w:num>
  <w:num w:numId="2">
    <w:abstractNumId w:val="5"/>
  </w:num>
  <w:num w:numId="3">
    <w:abstractNumId w:val="9"/>
  </w:num>
  <w:num w:numId="4">
    <w:abstractNumId w:val="3"/>
  </w:num>
  <w:num w:numId="5">
    <w:abstractNumId w:val="7"/>
  </w:num>
  <w:num w:numId="6">
    <w:abstractNumId w:val="10"/>
  </w:num>
  <w:num w:numId="7">
    <w:abstractNumId w:val="8"/>
  </w:num>
  <w:num w:numId="8">
    <w:abstractNumId w:val="1"/>
  </w:num>
  <w:num w:numId="9">
    <w:abstractNumId w:val="6"/>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D4F1E"/>
    <w:rsid w:val="00215E0B"/>
    <w:rsid w:val="00551F65"/>
    <w:rsid w:val="007C0591"/>
    <w:rsid w:val="00F13D3F"/>
    <w:rsid w:val="0181736D"/>
    <w:rsid w:val="02B80675"/>
    <w:rsid w:val="02D574BE"/>
    <w:rsid w:val="038F07DA"/>
    <w:rsid w:val="03C2759E"/>
    <w:rsid w:val="04634CCB"/>
    <w:rsid w:val="055B4494"/>
    <w:rsid w:val="05920807"/>
    <w:rsid w:val="05BF397E"/>
    <w:rsid w:val="07320557"/>
    <w:rsid w:val="084C35A0"/>
    <w:rsid w:val="0858732C"/>
    <w:rsid w:val="093518E5"/>
    <w:rsid w:val="096B18EE"/>
    <w:rsid w:val="0BEF4CA9"/>
    <w:rsid w:val="0C5F6FA5"/>
    <w:rsid w:val="0CE43B8F"/>
    <w:rsid w:val="0DE3413F"/>
    <w:rsid w:val="0E28765A"/>
    <w:rsid w:val="11724A08"/>
    <w:rsid w:val="12FF60E1"/>
    <w:rsid w:val="13151E20"/>
    <w:rsid w:val="150A2F86"/>
    <w:rsid w:val="15477B56"/>
    <w:rsid w:val="183049FA"/>
    <w:rsid w:val="191872BD"/>
    <w:rsid w:val="19F23F9D"/>
    <w:rsid w:val="1ACD4E89"/>
    <w:rsid w:val="1AD26D37"/>
    <w:rsid w:val="1B1331AE"/>
    <w:rsid w:val="1B9B7439"/>
    <w:rsid w:val="1C827295"/>
    <w:rsid w:val="1C974E74"/>
    <w:rsid w:val="1D5D2030"/>
    <w:rsid w:val="1DE75E6C"/>
    <w:rsid w:val="1E630EA9"/>
    <w:rsid w:val="1F13416D"/>
    <w:rsid w:val="1F481CE3"/>
    <w:rsid w:val="1F507AAF"/>
    <w:rsid w:val="1F52265D"/>
    <w:rsid w:val="213304C1"/>
    <w:rsid w:val="215A284A"/>
    <w:rsid w:val="228757E3"/>
    <w:rsid w:val="236B202E"/>
    <w:rsid w:val="23C2168B"/>
    <w:rsid w:val="23CB0CFD"/>
    <w:rsid w:val="258404E2"/>
    <w:rsid w:val="26871EE4"/>
    <w:rsid w:val="26991A51"/>
    <w:rsid w:val="2793660C"/>
    <w:rsid w:val="27E36678"/>
    <w:rsid w:val="28D4018A"/>
    <w:rsid w:val="297442B7"/>
    <w:rsid w:val="299928B1"/>
    <w:rsid w:val="29CC7F7F"/>
    <w:rsid w:val="2A770936"/>
    <w:rsid w:val="2B4E3C32"/>
    <w:rsid w:val="2B5A3477"/>
    <w:rsid w:val="2BAA0794"/>
    <w:rsid w:val="2BD73DA9"/>
    <w:rsid w:val="2BFA2F2B"/>
    <w:rsid w:val="2C521389"/>
    <w:rsid w:val="2C864D5D"/>
    <w:rsid w:val="2CCB06D4"/>
    <w:rsid w:val="2CDE0235"/>
    <w:rsid w:val="2D26209C"/>
    <w:rsid w:val="2D5B7F98"/>
    <w:rsid w:val="2DED7FEE"/>
    <w:rsid w:val="2E1D0B0D"/>
    <w:rsid w:val="2E2C703F"/>
    <w:rsid w:val="2E523C16"/>
    <w:rsid w:val="2E972F66"/>
    <w:rsid w:val="2F3E2FC4"/>
    <w:rsid w:val="31C5592A"/>
    <w:rsid w:val="32DE7134"/>
    <w:rsid w:val="332E5CBF"/>
    <w:rsid w:val="33D307EF"/>
    <w:rsid w:val="341541EE"/>
    <w:rsid w:val="34EE3B98"/>
    <w:rsid w:val="35567EED"/>
    <w:rsid w:val="35685B45"/>
    <w:rsid w:val="35853129"/>
    <w:rsid w:val="3598340C"/>
    <w:rsid w:val="35BC312C"/>
    <w:rsid w:val="35CC3248"/>
    <w:rsid w:val="36175DA3"/>
    <w:rsid w:val="361862FA"/>
    <w:rsid w:val="362D0B77"/>
    <w:rsid w:val="363D1E86"/>
    <w:rsid w:val="372F7F76"/>
    <w:rsid w:val="37F73E7E"/>
    <w:rsid w:val="38051217"/>
    <w:rsid w:val="381E23B5"/>
    <w:rsid w:val="38931BAE"/>
    <w:rsid w:val="39AF6293"/>
    <w:rsid w:val="3A346CDD"/>
    <w:rsid w:val="3AE62EEA"/>
    <w:rsid w:val="3B9F2873"/>
    <w:rsid w:val="3C463BC1"/>
    <w:rsid w:val="3D0B4218"/>
    <w:rsid w:val="3FE61943"/>
    <w:rsid w:val="40925A7A"/>
    <w:rsid w:val="45227FC1"/>
    <w:rsid w:val="46ED6771"/>
    <w:rsid w:val="46F25426"/>
    <w:rsid w:val="47262F6D"/>
    <w:rsid w:val="473E637E"/>
    <w:rsid w:val="47F779E7"/>
    <w:rsid w:val="487C69F2"/>
    <w:rsid w:val="48C407AC"/>
    <w:rsid w:val="495D0610"/>
    <w:rsid w:val="4A5E312F"/>
    <w:rsid w:val="4B602ABF"/>
    <w:rsid w:val="4B726781"/>
    <w:rsid w:val="4BD42F98"/>
    <w:rsid w:val="4CB76F51"/>
    <w:rsid w:val="4D185EC3"/>
    <w:rsid w:val="4E701E21"/>
    <w:rsid w:val="4F343D4D"/>
    <w:rsid w:val="4FDB1E13"/>
    <w:rsid w:val="4FFC6ADD"/>
    <w:rsid w:val="505A594B"/>
    <w:rsid w:val="50CE26AB"/>
    <w:rsid w:val="51261658"/>
    <w:rsid w:val="5128337D"/>
    <w:rsid w:val="51BE3B62"/>
    <w:rsid w:val="51D63A22"/>
    <w:rsid w:val="531C3B06"/>
    <w:rsid w:val="537D4F1E"/>
    <w:rsid w:val="53D0274A"/>
    <w:rsid w:val="53EA25CA"/>
    <w:rsid w:val="552705DC"/>
    <w:rsid w:val="556418F4"/>
    <w:rsid w:val="56545D95"/>
    <w:rsid w:val="57F2695B"/>
    <w:rsid w:val="584E16CC"/>
    <w:rsid w:val="585D575F"/>
    <w:rsid w:val="59090807"/>
    <w:rsid w:val="591E612A"/>
    <w:rsid w:val="59401951"/>
    <w:rsid w:val="59720505"/>
    <w:rsid w:val="5A23581E"/>
    <w:rsid w:val="5B420FDA"/>
    <w:rsid w:val="5BB94E1C"/>
    <w:rsid w:val="5C103C8D"/>
    <w:rsid w:val="5C261DF7"/>
    <w:rsid w:val="5CAE7B57"/>
    <w:rsid w:val="5CED785D"/>
    <w:rsid w:val="5D176A36"/>
    <w:rsid w:val="5D850596"/>
    <w:rsid w:val="5DC62237"/>
    <w:rsid w:val="5DE478CB"/>
    <w:rsid w:val="5F40748E"/>
    <w:rsid w:val="5F477D10"/>
    <w:rsid w:val="5FE231E0"/>
    <w:rsid w:val="5FE57409"/>
    <w:rsid w:val="600D4872"/>
    <w:rsid w:val="615C785F"/>
    <w:rsid w:val="61D96057"/>
    <w:rsid w:val="62373DAD"/>
    <w:rsid w:val="62C21C0B"/>
    <w:rsid w:val="63E4504B"/>
    <w:rsid w:val="65D26342"/>
    <w:rsid w:val="660864FF"/>
    <w:rsid w:val="6669664C"/>
    <w:rsid w:val="67B21312"/>
    <w:rsid w:val="682A4430"/>
    <w:rsid w:val="68917E1D"/>
    <w:rsid w:val="689E27D8"/>
    <w:rsid w:val="68DD3146"/>
    <w:rsid w:val="6A2007FF"/>
    <w:rsid w:val="6B7E03D2"/>
    <w:rsid w:val="6C4A52D0"/>
    <w:rsid w:val="6C703C37"/>
    <w:rsid w:val="6F2269F5"/>
    <w:rsid w:val="6FF44059"/>
    <w:rsid w:val="706430D6"/>
    <w:rsid w:val="71103404"/>
    <w:rsid w:val="71AC59A5"/>
    <w:rsid w:val="71D71745"/>
    <w:rsid w:val="723E390A"/>
    <w:rsid w:val="72867401"/>
    <w:rsid w:val="72DF3E4C"/>
    <w:rsid w:val="738627B9"/>
    <w:rsid w:val="73B250BD"/>
    <w:rsid w:val="74987681"/>
    <w:rsid w:val="763B7816"/>
    <w:rsid w:val="77D04228"/>
    <w:rsid w:val="78C96856"/>
    <w:rsid w:val="7A205476"/>
    <w:rsid w:val="7C1C1C6D"/>
    <w:rsid w:val="7CB1091C"/>
    <w:rsid w:val="7DEA28A5"/>
    <w:rsid w:val="7F3A0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1942</Words>
  <Characters>2107</Characters>
  <Lines>0</Lines>
  <Paragraphs>0</Paragraphs>
  <TotalTime>1</TotalTime>
  <ScaleCrop>false</ScaleCrop>
  <LinksUpToDate>false</LinksUpToDate>
  <CharactersWithSpaces>2136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2026-05-17T03:26:00Z</dcterms:created>
  <dc:creator>此处名字被我吃了(*^ω^*)</dc:creator>
  <cp:lastModifiedBy>情系上海滩</cp:lastModifiedBy>
  <dcterms:modified xsi:type="dcterms:W3CDTF">2026-06-03T09:02:43Z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8CFC3C89D2734F3BB96332EC1D940A11_11</vt:lpwstr>
  </property>
  <property fmtid="{D5CDD505-2E9C-101B-9397-08002B2CF9AE}" pid="4" name="KSOTemplateDocerSaveRecord">
    <vt:lpwstr>eyJoZGlkIjoiNzExZTU3OGI5ZWIzNzhjY2E1MGJlYzY5ZTBkYzRiNzEiLCJ1c2VySWQiOiIxMzc2NDA5NCJ9</vt:lpwstr>
  </property>
</Properties>
</file>