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2077B">
      <w:pPr>
        <w:spacing w:line="440" w:lineRule="exact"/>
        <w:jc w:val="center"/>
        <w:rPr>
          <w:rFonts w:hint="eastAsia" w:ascii="宋体" w:hAnsi="宋体" w:eastAsia="宋体"/>
          <w:sz w:val="24"/>
        </w:rPr>
      </w:pPr>
      <w:r>
        <w:rPr>
          <w:rFonts w:hint="eastAsia" w:ascii="宋体" w:hAnsi="宋体" w:eastAsia="宋体"/>
          <w:b/>
          <w:bCs/>
          <w:sz w:val="32"/>
          <w:szCs w:val="32"/>
        </w:rPr>
        <w:t>多功能智能乒乓球发球机系统设计报告</w:t>
      </w:r>
    </w:p>
    <w:p w14:paraId="6F8A0683">
      <w:pPr>
        <w:spacing w:line="440" w:lineRule="exact"/>
        <w:jc w:val="center"/>
        <w:rPr>
          <w:rFonts w:hint="eastAsia" w:ascii="宋体" w:hAnsi="宋体" w:eastAsia="宋体"/>
          <w:sz w:val="24"/>
        </w:rPr>
      </w:pPr>
      <w:r>
        <w:rPr>
          <w:rFonts w:hint="eastAsia" w:ascii="宋体" w:hAnsi="宋体" w:eastAsia="宋体"/>
          <w:sz w:val="24"/>
        </w:rPr>
        <w:t>作品编号：C13</w:t>
      </w:r>
    </w:p>
    <w:p w14:paraId="3EAA93AB">
      <w:pPr>
        <w:spacing w:line="440" w:lineRule="exact"/>
        <w:jc w:val="center"/>
        <w:rPr>
          <w:rFonts w:hint="eastAsia" w:ascii="宋体" w:hAnsi="宋体" w:eastAsia="宋体"/>
          <w:sz w:val="24"/>
        </w:rPr>
      </w:pPr>
      <w:r>
        <w:rPr>
          <w:rFonts w:hint="eastAsia" w:ascii="宋体" w:hAnsi="宋体" w:eastAsia="宋体"/>
          <w:sz w:val="24"/>
        </w:rPr>
        <w:t>参赛队员：</w:t>
      </w:r>
    </w:p>
    <w:p w14:paraId="30EFEFDF">
      <w:pPr>
        <w:spacing w:line="440" w:lineRule="exact"/>
        <w:jc w:val="center"/>
        <w:rPr>
          <w:rFonts w:ascii="宋体" w:hAnsi="宋体" w:eastAsia="宋体"/>
          <w:sz w:val="24"/>
        </w:rPr>
      </w:pPr>
      <w:r>
        <w:rPr>
          <w:rFonts w:hint="eastAsia" w:ascii="宋体" w:hAnsi="宋体" w:eastAsia="宋体"/>
          <w:sz w:val="24"/>
          <w:lang w:val="en-US" w:eastAsia="zh-CN"/>
        </w:rPr>
        <w:t>姓名：</w:t>
      </w:r>
      <w:r>
        <w:rPr>
          <w:rFonts w:hint="eastAsia" w:ascii="宋体" w:hAnsi="宋体" w:eastAsia="宋体"/>
          <w:sz w:val="24"/>
        </w:rPr>
        <w:t>熊简</w:t>
      </w:r>
      <w:r>
        <w:rPr>
          <w:rFonts w:ascii="宋体" w:hAnsi="宋体" w:eastAsia="宋体"/>
          <w:sz w:val="24"/>
        </w:rPr>
        <w:t> 学号：24300720236</w:t>
      </w:r>
    </w:p>
    <w:p w14:paraId="7FD2154D">
      <w:pPr>
        <w:spacing w:line="440" w:lineRule="exact"/>
        <w:jc w:val="center"/>
        <w:rPr>
          <w:rFonts w:ascii="宋体" w:hAnsi="宋体" w:eastAsia="宋体"/>
          <w:sz w:val="24"/>
        </w:rPr>
      </w:pPr>
      <w:r>
        <w:rPr>
          <w:rFonts w:hint="eastAsia" w:ascii="宋体" w:hAnsi="宋体" w:eastAsia="宋体"/>
          <w:sz w:val="24"/>
          <w:lang w:val="en-US" w:eastAsia="zh-CN"/>
        </w:rPr>
        <w:t>姓名：</w:t>
      </w:r>
      <w:r>
        <w:rPr>
          <w:rFonts w:hint="eastAsia" w:ascii="宋体" w:hAnsi="宋体" w:eastAsia="宋体"/>
          <w:sz w:val="24"/>
        </w:rPr>
        <w:t>段蕴芳</w:t>
      </w:r>
      <w:r>
        <w:rPr>
          <w:rFonts w:ascii="宋体" w:hAnsi="宋体" w:eastAsia="宋体"/>
          <w:sz w:val="24"/>
        </w:rPr>
        <w:t> 学号：24300720230</w:t>
      </w:r>
    </w:p>
    <w:p w14:paraId="39881C44">
      <w:pPr>
        <w:spacing w:line="440" w:lineRule="exact"/>
        <w:jc w:val="center"/>
        <w:rPr>
          <w:rFonts w:ascii="宋体" w:hAnsi="宋体" w:eastAsia="宋体"/>
          <w:sz w:val="24"/>
        </w:rPr>
      </w:pPr>
      <w:r>
        <w:rPr>
          <w:rFonts w:hint="eastAsia" w:ascii="宋体" w:hAnsi="宋体" w:eastAsia="宋体"/>
          <w:sz w:val="24"/>
          <w:lang w:val="en-US" w:eastAsia="zh-CN"/>
        </w:rPr>
        <w:t>姓名：</w:t>
      </w:r>
      <w:bookmarkStart w:id="0" w:name="_GoBack"/>
      <w:bookmarkEnd w:id="0"/>
      <w:r>
        <w:rPr>
          <w:rFonts w:hint="eastAsia" w:ascii="宋体" w:hAnsi="宋体" w:eastAsia="宋体"/>
          <w:sz w:val="24"/>
        </w:rPr>
        <w:t>田雨霏</w:t>
      </w:r>
      <w:r>
        <w:rPr>
          <w:rFonts w:ascii="宋体" w:hAnsi="宋体" w:eastAsia="宋体"/>
          <w:sz w:val="24"/>
        </w:rPr>
        <w:t> 学号：24300720218</w:t>
      </w:r>
    </w:p>
    <w:p w14:paraId="1E38F749">
      <w:pPr>
        <w:spacing w:line="440" w:lineRule="exact"/>
        <w:jc w:val="center"/>
        <w:rPr>
          <w:rFonts w:hint="eastAsia" w:ascii="宋体" w:hAnsi="宋体" w:eastAsia="宋体"/>
          <w:sz w:val="24"/>
        </w:rPr>
      </w:pPr>
      <w:r>
        <w:rPr>
          <w:rFonts w:hint="eastAsia" w:ascii="宋体" w:hAnsi="宋体" w:eastAsia="宋体"/>
          <w:b/>
          <w:bCs/>
          <w:sz w:val="28"/>
          <w:szCs w:val="28"/>
        </w:rPr>
        <w:t>摘要</w:t>
      </w:r>
    </w:p>
    <w:p w14:paraId="7C95A3AF">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本文针对2026年复旦大学电子设计竞赛C题要求，设计并制作了一台基于 STM32F407 微控制器的多功能乒乓球发球机。系统硬件架构以 STM32 核心板为主控，结合 L298N 双路电机驱动模块控制直流电机驱动摩擦轮，并采用高扭矩数字舵机控制发射云台的俯仰与偏航角度。为保障高并发下的系统稳定性，动力系统与主控实现了严格的共地隔离与独立稳压供电。</w:t>
      </w:r>
    </w:p>
    <w:p w14:paraId="3C199044">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Times New Roman" w:hAnsi="Times New Roman" w:eastAsia="宋体" w:cs="Times New Roman"/>
          <w:sz w:val="24"/>
          <w:szCs w:val="24"/>
          <w14:ligatures w14:val="none"/>
        </w:rPr>
      </w:pPr>
      <w:r>
        <w:rPr>
          <w:rFonts w:hint="eastAsia" w:ascii="宋体" w:hAnsi="宋体" w:eastAsia="宋体"/>
          <w:sz w:val="24"/>
        </w:rPr>
        <w:t>在控制策略上，本装置确立了以高稳定性手动按键状态机为主的闭环控制方案。通过精确的 PWM 定时器配置（TIM3与TIM4），系统完美实现了对发球核心参数的全面控制：</w:t>
      </w:r>
      <w:r>
        <w:rPr>
          <w:rFonts w:hint="eastAsia" w:ascii="宋体" w:hAnsi="宋体" w:eastAsia="宋体"/>
          <w:sz w:val="24"/>
          <w:lang w:val="en-US" w:eastAsia="zh-CN"/>
        </w:rPr>
        <w:t>①</w:t>
      </w:r>
      <w:r>
        <w:rPr>
          <w:rFonts w:hint="eastAsia" w:ascii="宋体" w:hAnsi="宋体" w:eastAsia="宋体"/>
          <w:sz w:val="24"/>
        </w:rPr>
        <w:t>球速与侧旋调控：通过按键 PE0（升档）与 PE1（降档）实现6档球速的平滑切换；利用底层“起步冲刺算法”克服静摩擦死区；通过 PE2 一键调整左右轮差速，精准实现直线球、左侧旋与右侧旋的无缝切换。</w:t>
      </w:r>
      <w:r>
        <w:rPr>
          <w:rFonts w:hint="eastAsia" w:ascii="宋体" w:hAnsi="宋体" w:eastAsia="宋体"/>
          <w:sz w:val="24"/>
          <w:lang w:val="en-US" w:eastAsia="zh-CN"/>
        </w:rPr>
        <w:t>②</w:t>
      </w:r>
      <w:r>
        <w:rPr>
          <w:rFonts w:hint="eastAsia" w:ascii="宋体" w:hAnsi="宋体" w:eastAsia="宋体"/>
          <w:sz w:val="24"/>
        </w:rPr>
        <w:t>落点与轨迹调节：通过按键 PE3 控制俯仰角舵机，精确实现“一跳球”与“两跳球”的发射姿态切换；通过 PE4 控</w:t>
      </w:r>
      <w:r>
        <w:rPr>
          <w:rFonts w:hint="eastAsia" w:ascii="Times New Roman" w:hAnsi="Times New Roman" w:eastAsia="宋体" w:cs="Times New Roman"/>
          <w:sz w:val="24"/>
          <w:szCs w:val="24"/>
          <w14:ligatures w14:val="none"/>
        </w:rPr>
        <w:t>制偏航角舵机，按照“居中-左偏-居中-右偏”的状态机逻辑，稳定完成左右半区的交替发球。</w:t>
      </w:r>
    </w:p>
    <w:p w14:paraId="2EE6A628">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Times New Roman" w:hAnsi="Times New Roman" w:eastAsia="宋体" w:cs="Times New Roman"/>
          <w:sz w:val="24"/>
          <w:szCs w:val="24"/>
          <w14:ligatures w14:val="none"/>
        </w:rPr>
        <w:t>针对赛题提高要求中的“红黑拍面视觉识别及自动打靶”功能，在实际系统联调过程中，经测试发现所选用的视觉传感器件存在严重的硬件级画面偏色现象，且摄像头输出清晰度不足以在场馆复杂光照环境下稳定提取目标特征。为保障发球机在比赛测评时的核心动作可靠性与发球连贯性，本设计主动舍弃了不稳定的自动化视觉闭环，将功能重心聚焦于底盘动力学控制与多档位手动精准响应。整体测试表明，该发球机机械结构</w:t>
      </w:r>
      <w:r>
        <w:rPr>
          <w:rFonts w:hint="eastAsia" w:ascii="宋体" w:hAnsi="宋体" w:eastAsia="宋体"/>
          <w:sz w:val="24"/>
        </w:rPr>
        <w:t>可靠，摩擦轮动力控制响应迅速，发球轨迹与落点切换清晰准确，能够高标准、稳定地完成竞赛任务要求中的各项机械运动与基础发球指标。</w:t>
      </w:r>
    </w:p>
    <w:p w14:paraId="4C127CFA">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6035A437">
      <w:pPr>
        <w:keepNext w:val="0"/>
        <w:keepLines w:val="0"/>
        <w:pageBreakBefore w:val="0"/>
        <w:widowControl w:val="0"/>
        <w:kinsoku/>
        <w:wordWrap/>
        <w:overflowPunct/>
        <w:topLinePunct w:val="0"/>
        <w:autoSpaceDE/>
        <w:autoSpaceDN/>
        <w:bidi w:val="0"/>
        <w:adjustRightInd/>
        <w:snapToGrid/>
        <w:spacing w:after="0" w:line="440" w:lineRule="exact"/>
        <w:jc w:val="both"/>
        <w:textAlignment w:val="auto"/>
        <w:rPr>
          <w:rFonts w:hint="eastAsia" w:ascii="宋体" w:hAnsi="宋体" w:eastAsia="宋体"/>
          <w:sz w:val="24"/>
        </w:rPr>
      </w:pPr>
      <w:r>
        <w:rPr>
          <w:rFonts w:hint="eastAsia" w:ascii="宋体" w:hAnsi="宋体" w:eastAsia="宋体"/>
          <w:sz w:val="24"/>
        </w:rPr>
        <w:t>一、方案论证与选择</w:t>
      </w:r>
    </w:p>
    <w:p w14:paraId="70663B2D">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1.发射机构方案</w:t>
      </w:r>
    </w:p>
    <w:p w14:paraId="1CF9101B">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 xml:space="preserve">在发射机构的设计上，主要考虑了单摩擦轮与双直流电机对称摩擦轮两种方案。  </w:t>
      </w:r>
    </w:p>
    <w:p w14:paraId="19EB9EDF">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lang w:val="en-US" w:eastAsia="zh-CN"/>
        </w:rPr>
        <w:t>①</w:t>
      </w:r>
      <w:r>
        <w:rPr>
          <w:rFonts w:hint="eastAsia" w:ascii="宋体" w:hAnsi="宋体" w:eastAsia="宋体"/>
          <w:sz w:val="24"/>
        </w:rPr>
        <w:t xml:space="preserve">单摩擦轮：结构简单，但无法通过电控手段直接改变出球的左右侧旋方向，旋转球能力有限。  </w:t>
      </w:r>
    </w:p>
    <w:p w14:paraId="063DFB74">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sz w:val="24"/>
          <w:lang w:val="en-US" w:eastAsia="zh-CN"/>
        </w:rPr>
      </w:pPr>
      <w:r>
        <w:rPr>
          <w:rFonts w:hint="eastAsia" w:ascii="宋体" w:hAnsi="宋体" w:eastAsia="宋体"/>
          <w:sz w:val="24"/>
          <w:lang w:val="en-US" w:eastAsia="zh-CN"/>
        </w:rPr>
        <w:t>②</w:t>
      </w:r>
      <w:r>
        <w:rPr>
          <w:rFonts w:hint="eastAsia" w:ascii="宋体" w:hAnsi="宋体" w:eastAsia="宋体"/>
          <w:sz w:val="24"/>
        </w:rPr>
        <w:t>双直流电机方案：采用两个相互平行的380直流减速电机分别带动摩擦轮。当两个摩擦轮存在转速差时，乒乓球因受到不对称的摩擦力矩而产生水平自旋。</w:t>
      </w:r>
      <w:r>
        <w:rPr>
          <w:rFonts w:hint="eastAsia" w:ascii="宋体" w:hAnsi="宋体" w:eastAsia="宋体"/>
          <w:sz w:val="24"/>
          <w:lang w:val="en-US" w:eastAsia="zh-CN"/>
        </w:rPr>
        <w:t>后续实操时为了实现旋球效果更显著，直接使得一方电机反转。</w:t>
      </w:r>
    </w:p>
    <w:p w14:paraId="12E43A48">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r>
        <w:rPr>
          <w:rFonts w:hint="eastAsia" w:ascii="宋体" w:hAnsi="宋体" w:eastAsia="宋体"/>
          <w:sz w:val="24"/>
        </w:rPr>
        <w:t>本设计选用双电机方案，通过改变双路PWM占空比实现灵活的调速与极限侧旋控制。</w:t>
      </w:r>
    </w:p>
    <w:p w14:paraId="3954C6B4">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lang w:val="en-US" w:eastAsia="zh-CN"/>
        </w:rPr>
        <w:t>2.</w:t>
      </w:r>
      <w:r>
        <w:rPr>
          <w:rFonts w:hint="eastAsia" w:ascii="宋体" w:hAnsi="宋体" w:eastAsia="宋体"/>
          <w:sz w:val="24"/>
        </w:rPr>
        <w:t>视觉识别模块方案</w:t>
      </w:r>
    </w:p>
    <w:p w14:paraId="725FCC16">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传统视觉方案多采用OpenMV，生态完善但成本较高。本系统选用ESP32‑CAM作为视觉处理核心，该方案成本极低且自带强劲的计算能力。为克服廉价OV2640镜头在网页视频流传输中产生的严重色差，我们摒弃了传统网页图传取色法，直接</w:t>
      </w:r>
      <w:r>
        <w:rPr>
          <w:rFonts w:hint="eastAsia" w:ascii="宋体" w:hAnsi="宋体" w:eastAsia="宋体"/>
          <w:sz w:val="24"/>
          <w:lang w:val="en-US" w:eastAsia="zh-CN"/>
        </w:rPr>
        <w:t>通过ArduinoIDE</w:t>
      </w:r>
      <w:r>
        <w:rPr>
          <w:rFonts w:hint="eastAsia" w:ascii="宋体" w:hAnsi="宋体" w:eastAsia="宋体"/>
          <w:sz w:val="24"/>
        </w:rPr>
        <w:t>在ESP32‑CAM内部编写“颜色探针”底层代码，提取画面中心像素的原始RGB并转换为HSV色域，从而获取不受网络压缩干扰的绝对物理真值数据，大幅提升了系统的环境鲁棒性。</w:t>
      </w:r>
    </w:p>
    <w:p w14:paraId="7AA04494">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3755EF48">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607345FB">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419C20E0">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7601D935">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p>
    <w:p w14:paraId="1AF21139">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p>
    <w:p w14:paraId="79B810D1">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p>
    <w:p w14:paraId="4C7E0671">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p>
    <w:p w14:paraId="44A995EF">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p>
    <w:p w14:paraId="1BCBB46A">
      <w:pPr>
        <w:keepNext w:val="0"/>
        <w:keepLines w:val="0"/>
        <w:pageBreakBefore w:val="0"/>
        <w:widowControl w:val="0"/>
        <w:kinsoku/>
        <w:wordWrap/>
        <w:overflowPunct/>
        <w:topLinePunct w:val="0"/>
        <w:autoSpaceDE/>
        <w:autoSpaceDN/>
        <w:bidi w:val="0"/>
        <w:adjustRightInd/>
        <w:snapToGrid/>
        <w:spacing w:after="0" w:line="440" w:lineRule="exact"/>
        <w:ind w:firstLine="440" w:firstLineChars="200"/>
        <w:jc w:val="both"/>
        <w:textAlignment w:val="auto"/>
      </w:pPr>
      <w:r>
        <w:drawing>
          <wp:anchor distT="0" distB="0" distL="114300" distR="114300" simplePos="0" relativeHeight="251661312" behindDoc="0" locked="0" layoutInCell="1" allowOverlap="1">
            <wp:simplePos x="0" y="0"/>
            <wp:positionH relativeFrom="column">
              <wp:posOffset>570230</wp:posOffset>
            </wp:positionH>
            <wp:positionV relativeFrom="paragraph">
              <wp:posOffset>-2341880</wp:posOffset>
            </wp:positionV>
            <wp:extent cx="4133215" cy="2555875"/>
            <wp:effectExtent l="0" t="0" r="6985" b="9525"/>
            <wp:wrapSquare wrapText="bothSides"/>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7"/>
                    <a:stretch>
                      <a:fillRect/>
                    </a:stretch>
                  </pic:blipFill>
                  <pic:spPr>
                    <a:xfrm>
                      <a:off x="0" y="0"/>
                      <a:ext cx="4133215" cy="2555875"/>
                    </a:xfrm>
                    <a:prstGeom prst="rect">
                      <a:avLst/>
                    </a:prstGeom>
                    <a:noFill/>
                    <a:ln>
                      <a:noFill/>
                    </a:ln>
                  </pic:spPr>
                </pic:pic>
              </a:graphicData>
            </a:graphic>
          </wp:anchor>
        </w:drawing>
      </w:r>
    </w:p>
    <w:p w14:paraId="4EEA5FAB">
      <w:pPr>
        <w:keepNext w:val="0"/>
        <w:keepLines w:val="0"/>
        <w:pageBreakBefore w:val="0"/>
        <w:widowControl w:val="0"/>
        <w:kinsoku/>
        <w:wordWrap/>
        <w:overflowPunct/>
        <w:topLinePunct w:val="0"/>
        <w:autoSpaceDE/>
        <w:autoSpaceDN/>
        <w:bidi w:val="0"/>
        <w:adjustRightInd/>
        <w:snapToGrid/>
        <w:spacing w:after="0" w:line="440" w:lineRule="exact"/>
        <w:jc w:val="both"/>
        <w:textAlignment w:val="auto"/>
        <w:rPr>
          <w:rFonts w:hint="eastAsia" w:ascii="宋体" w:hAnsi="宋体" w:eastAsia="宋体"/>
          <w:sz w:val="24"/>
          <w:lang w:val="en-US" w:eastAsia="zh-CN"/>
        </w:rPr>
      </w:pPr>
      <w:r>
        <w:rPr>
          <w:sz w:val="22"/>
        </w:rPr>
        <mc:AlternateContent>
          <mc:Choice Requires="wps">
            <w:drawing>
              <wp:anchor distT="0" distB="0" distL="114300" distR="114300" simplePos="0" relativeHeight="251662336" behindDoc="0" locked="0" layoutInCell="1" allowOverlap="1">
                <wp:simplePos x="0" y="0"/>
                <wp:positionH relativeFrom="column">
                  <wp:posOffset>565785</wp:posOffset>
                </wp:positionH>
                <wp:positionV relativeFrom="paragraph">
                  <wp:posOffset>158115</wp:posOffset>
                </wp:positionV>
                <wp:extent cx="4133215" cy="215900"/>
                <wp:effectExtent l="0" t="0" r="6985" b="0"/>
                <wp:wrapSquare wrapText="bothSides"/>
                <wp:docPr id="8" name="文本框 8"/>
                <wp:cNvGraphicFramePr/>
                <a:graphic xmlns:a="http://schemas.openxmlformats.org/drawingml/2006/main">
                  <a:graphicData uri="http://schemas.microsoft.com/office/word/2010/wordprocessingShape">
                    <wps:wsp>
                      <wps:cNvSpPr txBox="1"/>
                      <wps:spPr>
                        <a:xfrm>
                          <a:off x="0" y="0"/>
                          <a:ext cx="4133215" cy="2159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4FB5D07">
                            <w:pPr>
                              <w:pStyle w:val="11"/>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rPr>
                              <w:t xml:space="preserve">图 </w:t>
                            </w: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SEQ 图 \* ARABIC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1</w:t>
                            </w:r>
                            <w:r>
                              <w:rPr>
                                <w:rFonts w:hint="eastAsia" w:ascii="黑体" w:hAnsi="黑体" w:eastAsia="黑体" w:cs="黑体"/>
                                <w:b/>
                                <w:bCs/>
                                <w:sz w:val="21"/>
                                <w:szCs w:val="21"/>
                              </w:rPr>
                              <w:fldChar w:fldCharType="end"/>
                            </w:r>
                            <w:r>
                              <w:rPr>
                                <w:rFonts w:hint="eastAsia" w:ascii="黑体" w:hAnsi="黑体" w:eastAsia="黑体" w:cs="黑体"/>
                                <w:b/>
                                <w:bCs/>
                                <w:sz w:val="21"/>
                                <w:szCs w:val="21"/>
                                <w:lang w:val="en-US" w:eastAsia="zh-CN"/>
                              </w:rPr>
                              <w:t xml:space="preserve"> HSV色域代码检测</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4.55pt;margin-top:12.45pt;height:17pt;width:325.45pt;mso-wrap-distance-bottom:0pt;mso-wrap-distance-left:9pt;mso-wrap-distance-right:9pt;mso-wrap-distance-top:0pt;z-index:251662336;mso-width-relative:page;mso-height-relative:page;" fillcolor="#FFFFFF [3201]" filled="t" stroked="f" coordsize="21600,21600" o:gfxdata="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Bo1Uln2AAAAAgBAAAPAAAAAAAAAAEAIAAAACIAAABkcnMvZG93bnJl&#10;di54bWxQSwECFAAUAAAACACHTuJAZ/zCBKgCAABvBQAADgAAAAAAAAABACAAAAAnAQAAZHJzL2Uy&#10;b0RvYy54bWxQSwUGAAAAAAYABgBZAQAAQQYAAAAA&#10;">
                <v:fill on="t" focussize="0,0"/>
                <v:stroke on="f" weight="0.5pt"/>
                <v:imagedata o:title=""/>
                <o:lock v:ext="edit" aspectratio="f"/>
                <v:textbox inset="0mm,0mm,0mm,0mm" style="mso-fit-shape-to-text:t;">
                  <w:txbxContent>
                    <w:p w14:paraId="64FB5D07">
                      <w:pPr>
                        <w:pStyle w:val="11"/>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rPr>
                        <w:t xml:space="preserve">图 </w:t>
                      </w:r>
                      <w:r>
                        <w:rPr>
                          <w:rFonts w:hint="eastAsia" w:ascii="黑体" w:hAnsi="黑体" w:eastAsia="黑体" w:cs="黑体"/>
                          <w:b/>
                          <w:bCs/>
                          <w:sz w:val="21"/>
                          <w:szCs w:val="21"/>
                        </w:rPr>
                        <w:fldChar w:fldCharType="begin"/>
                      </w:r>
                      <w:r>
                        <w:rPr>
                          <w:rFonts w:hint="eastAsia" w:ascii="黑体" w:hAnsi="黑体" w:eastAsia="黑体" w:cs="黑体"/>
                          <w:b/>
                          <w:bCs/>
                          <w:sz w:val="21"/>
                          <w:szCs w:val="21"/>
                        </w:rPr>
                        <w:instrText xml:space="preserve"> SEQ 图 \* ARABIC </w:instrText>
                      </w:r>
                      <w:r>
                        <w:rPr>
                          <w:rFonts w:hint="eastAsia" w:ascii="黑体" w:hAnsi="黑体" w:eastAsia="黑体" w:cs="黑体"/>
                          <w:b/>
                          <w:bCs/>
                          <w:sz w:val="21"/>
                          <w:szCs w:val="21"/>
                        </w:rPr>
                        <w:fldChar w:fldCharType="separate"/>
                      </w:r>
                      <w:r>
                        <w:rPr>
                          <w:rFonts w:hint="eastAsia" w:ascii="黑体" w:hAnsi="黑体" w:eastAsia="黑体" w:cs="黑体"/>
                          <w:b/>
                          <w:bCs/>
                          <w:sz w:val="21"/>
                          <w:szCs w:val="21"/>
                        </w:rPr>
                        <w:t>1</w:t>
                      </w:r>
                      <w:r>
                        <w:rPr>
                          <w:rFonts w:hint="eastAsia" w:ascii="黑体" w:hAnsi="黑体" w:eastAsia="黑体" w:cs="黑体"/>
                          <w:b/>
                          <w:bCs/>
                          <w:sz w:val="21"/>
                          <w:szCs w:val="21"/>
                        </w:rPr>
                        <w:fldChar w:fldCharType="end"/>
                      </w:r>
                      <w:r>
                        <w:rPr>
                          <w:rFonts w:hint="eastAsia" w:ascii="黑体" w:hAnsi="黑体" w:eastAsia="黑体" w:cs="黑体"/>
                          <w:b/>
                          <w:bCs/>
                          <w:sz w:val="21"/>
                          <w:szCs w:val="21"/>
                          <w:lang w:val="en-US" w:eastAsia="zh-CN"/>
                        </w:rPr>
                        <w:t xml:space="preserve"> HSV色域代码检测</w:t>
                      </w:r>
                    </w:p>
                  </w:txbxContent>
                </v:textbox>
                <w10:wrap type="square"/>
              </v:shape>
            </w:pict>
          </mc:Fallback>
        </mc:AlternateContent>
      </w:r>
    </w:p>
    <w:p w14:paraId="43B245FB">
      <w:pPr>
        <w:keepNext w:val="0"/>
        <w:keepLines w:val="0"/>
        <w:pageBreakBefore w:val="0"/>
        <w:widowControl w:val="0"/>
        <w:kinsoku/>
        <w:wordWrap/>
        <w:overflowPunct/>
        <w:topLinePunct w:val="0"/>
        <w:autoSpaceDE/>
        <w:autoSpaceDN/>
        <w:bidi w:val="0"/>
        <w:adjustRightInd/>
        <w:snapToGrid/>
        <w:spacing w:after="0" w:line="440" w:lineRule="exact"/>
        <w:jc w:val="both"/>
        <w:textAlignment w:val="auto"/>
        <w:rPr>
          <w:rFonts w:hint="eastAsia" w:ascii="宋体" w:hAnsi="宋体" w:eastAsia="宋体"/>
          <w:sz w:val="24"/>
          <w:lang w:val="en-US" w:eastAsia="zh-CN"/>
        </w:rPr>
      </w:pPr>
    </w:p>
    <w:p w14:paraId="0457CCC6">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sz w:val="24"/>
          <w:lang w:val="en-US" w:eastAsia="zh-CN"/>
        </w:rPr>
      </w:pPr>
      <w:r>
        <w:rPr>
          <w:rFonts w:hint="eastAsia" w:ascii="宋体" w:hAnsi="宋体" w:eastAsia="宋体"/>
          <w:sz w:val="24"/>
          <w:lang w:val="en-US" w:eastAsia="zh-CN"/>
        </w:rPr>
        <w:t>后续实操时由于色差实在过大，黑色难以识别，且清晰度过低，放弃了视觉识别模块有关部分的任务。</w:t>
      </w:r>
    </w:p>
    <w:p w14:paraId="7E6358FA">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lang w:val="en-US" w:eastAsia="zh-CN"/>
        </w:rPr>
        <w:t>3.</w:t>
      </w:r>
      <w:r>
        <w:rPr>
          <w:rFonts w:hint="eastAsia" w:ascii="宋体" w:hAnsi="宋体" w:eastAsia="宋体"/>
          <w:sz w:val="24"/>
        </w:rPr>
        <w:t>控制器与驱动方案</w:t>
      </w:r>
    </w:p>
    <w:p w14:paraId="44595BB1">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微控制器选用STM32F407开发板，其168MHz的主频与丰富的定时器资源能够稳定处理按键扫描、PWM高频输出及串口中断。电机驱动部分采用L298N模块，虽存在固有压降，但本团队通过纯软件控制算法（Kick‑start策略）完美弥补了其低电压下驱动力不足的物理缺陷，实现了高性价比的硬件组合。</w:t>
      </w:r>
    </w:p>
    <w:p w14:paraId="31F69F99">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二、系统架构与元件选型</w:t>
      </w:r>
    </w:p>
    <w:p w14:paraId="395E70AD">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lang w:val="en-US" w:eastAsia="zh-CN"/>
        </w:rPr>
        <w:t>1.</w:t>
      </w:r>
      <w:r>
        <w:rPr>
          <w:rFonts w:hint="eastAsia" w:ascii="宋体" w:hAnsi="宋体" w:eastAsia="宋体"/>
          <w:sz w:val="24"/>
        </w:rPr>
        <w:t>系统整体架构</w:t>
      </w:r>
    </w:p>
    <w:p w14:paraId="0F53366D">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本系统以 STM32F407 为核心控制节点，硬件部分主要由直流电机发射机构、按键交互模块、舵机云台模块和电源管理模块构成。</w:t>
      </w:r>
    </w:p>
    <w:p w14:paraId="139A590B">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在实际运行中，系统采用高稳定性物理按键阵列作为核心输入源。主控 MCU 实时扫描并处理按键触发指令，经过内部高频状态机逻辑运算后，输出两路精确的 PWM 波至 L298N 驱动板，从而独立控制双摩擦轮的转速与转向。用户全程通过五个独立按键（PE0~PE4）实现对发球机的全方位闭环调控，具体包括：动力档位加减调节、极限侧旋模式切换（直线/左侧旋/右侧旋）、俯仰角三态切换（一跳球/回正/两跳球），以及手动偏航寻的控制（居中/左偏/回正/右偏</w:t>
      </w:r>
      <w:r>
        <w:rPr>
          <w:rFonts w:hint="eastAsia" w:ascii="宋体" w:hAnsi="宋体" w:eastAsia="宋体"/>
          <w:sz w:val="24"/>
          <w:lang w:val="en-US" w:eastAsia="zh-CN"/>
        </w:rPr>
        <w:t>-</w:t>
      </w:r>
      <w:r>
        <w:rPr>
          <w:rFonts w:hint="eastAsia" w:ascii="宋体" w:hAnsi="宋体" w:eastAsia="宋体"/>
          <w:sz w:val="24"/>
        </w:rPr>
        <w:t>循环）。</w:t>
      </w:r>
    </w:p>
    <w:p w14:paraId="71C52960">
      <w:pPr>
        <w:keepNext w:val="0"/>
        <w:keepLines w:val="0"/>
        <w:pageBreakBefore w:val="0"/>
        <w:widowControl w:val="0"/>
        <w:kinsoku/>
        <w:wordWrap/>
        <w:overflowPunct/>
        <w:topLinePunct w:val="0"/>
        <w:autoSpaceDE/>
        <w:autoSpaceDN/>
        <w:bidi w:val="0"/>
        <w:adjustRightInd/>
        <w:snapToGrid/>
        <w:spacing w:after="0" w:line="440" w:lineRule="exact"/>
        <w:ind w:firstLine="440" w:firstLineChars="200"/>
        <w:jc w:val="both"/>
        <w:textAlignment w:val="auto"/>
      </w:pPr>
      <w:r>
        <w:drawing>
          <wp:anchor distT="0" distB="0" distL="114300" distR="114300" simplePos="0" relativeHeight="251663360" behindDoc="0" locked="0" layoutInCell="1" allowOverlap="1">
            <wp:simplePos x="0" y="0"/>
            <wp:positionH relativeFrom="column">
              <wp:posOffset>875665</wp:posOffset>
            </wp:positionH>
            <wp:positionV relativeFrom="paragraph">
              <wp:posOffset>273685</wp:posOffset>
            </wp:positionV>
            <wp:extent cx="3522980" cy="3521075"/>
            <wp:effectExtent l="0" t="0" r="7620" b="9525"/>
            <wp:wrapSquare wrapText="bothSides"/>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8"/>
                    <a:stretch>
                      <a:fillRect/>
                    </a:stretch>
                  </pic:blipFill>
                  <pic:spPr>
                    <a:xfrm>
                      <a:off x="0" y="0"/>
                      <a:ext cx="3522980" cy="3521075"/>
                    </a:xfrm>
                    <a:prstGeom prst="rect">
                      <a:avLst/>
                    </a:prstGeom>
                    <a:noFill/>
                    <a:ln>
                      <a:noFill/>
                    </a:ln>
                  </pic:spPr>
                </pic:pic>
              </a:graphicData>
            </a:graphic>
          </wp:anchor>
        </w:drawing>
      </w:r>
    </w:p>
    <w:p w14:paraId="4A9CF965">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1A190684">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30B8A441">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0C58649F">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4E1A5E21">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6236B760">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23EA4C53">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27A2EF92">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066812D0">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4E7B4E6B">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631EDF72">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0F507D5D">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242E4DA5">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33F07D6D">
      <w:pPr>
        <w:keepNext w:val="0"/>
        <w:keepLines w:val="0"/>
        <w:pageBreakBefore w:val="0"/>
        <w:widowControl w:val="0"/>
        <w:kinsoku/>
        <w:wordWrap/>
        <w:overflowPunct/>
        <w:topLinePunct w:val="0"/>
        <w:autoSpaceDE/>
        <w:autoSpaceDN/>
        <w:bidi w:val="0"/>
        <w:adjustRightInd/>
        <w:snapToGrid/>
        <w:spacing w:after="0" w:line="440" w:lineRule="exact"/>
        <w:ind w:firstLine="440" w:firstLineChars="200"/>
        <w:jc w:val="both"/>
        <w:textAlignment w:val="auto"/>
        <w:rPr>
          <w:rFonts w:hint="eastAsia" w:ascii="宋体" w:hAnsi="宋体" w:eastAsia="宋体"/>
          <w:sz w:val="24"/>
        </w:rPr>
      </w:pPr>
      <w:r>
        <w:rPr>
          <w:sz w:val="22"/>
        </w:rPr>
        <mc:AlternateContent>
          <mc:Choice Requires="wps">
            <w:drawing>
              <wp:anchor distT="0" distB="0" distL="114300" distR="114300" simplePos="0" relativeHeight="251664384" behindDoc="0" locked="0" layoutInCell="1" allowOverlap="1">
                <wp:simplePos x="0" y="0"/>
                <wp:positionH relativeFrom="column">
                  <wp:posOffset>885190</wp:posOffset>
                </wp:positionH>
                <wp:positionV relativeFrom="paragraph">
                  <wp:posOffset>97155</wp:posOffset>
                </wp:positionV>
                <wp:extent cx="3522980" cy="215900"/>
                <wp:effectExtent l="0" t="0" r="7620" b="0"/>
                <wp:wrapSquare wrapText="bothSides"/>
                <wp:docPr id="10" name="文本框 10"/>
                <wp:cNvGraphicFramePr/>
                <a:graphic xmlns:a="http://schemas.openxmlformats.org/drawingml/2006/main">
                  <a:graphicData uri="http://schemas.microsoft.com/office/word/2010/wordprocessingShape">
                    <wps:wsp>
                      <wps:cNvSpPr txBox="1"/>
                      <wps:spPr>
                        <a:xfrm>
                          <a:off x="0" y="0"/>
                          <a:ext cx="3522980" cy="2159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F08148">
                            <w:pPr>
                              <w:pStyle w:val="11"/>
                              <w:jc w:val="center"/>
                              <w:rPr>
                                <w:rFonts w:hint="default" w:ascii="黑体" w:hAnsi="黑体" w:eastAsia="黑体" w:cs="黑体"/>
                                <w:b/>
                                <w:bCs/>
                                <w:sz w:val="21"/>
                                <w:szCs w:val="21"/>
                                <w:lang w:val="en-US" w:eastAsia="zh-CN"/>
                              </w:rPr>
                            </w:pPr>
                            <w:r>
                              <w:rPr>
                                <w:rFonts w:hint="eastAsia" w:ascii="黑体" w:hAnsi="黑体" w:eastAsia="黑体" w:cs="黑体"/>
                                <w:b/>
                                <w:bCs/>
                                <w:sz w:val="21"/>
                                <w:szCs w:val="21"/>
                                <w:lang w:val="en-US" w:eastAsia="zh-CN"/>
                              </w:rPr>
                              <w:t xml:space="preserve">图 </w:t>
                            </w:r>
                            <w:r>
                              <w:rPr>
                                <w:rFonts w:hint="eastAsia" w:ascii="黑体" w:hAnsi="黑体" w:eastAsia="黑体" w:cs="黑体"/>
                                <w:b/>
                                <w:bCs/>
                                <w:sz w:val="21"/>
                                <w:szCs w:val="21"/>
                                <w:lang w:val="en-US" w:eastAsia="zh-CN"/>
                              </w:rPr>
                              <w:fldChar w:fldCharType="begin"/>
                            </w:r>
                            <w:r>
                              <w:rPr>
                                <w:rFonts w:hint="eastAsia" w:ascii="黑体" w:hAnsi="黑体" w:eastAsia="黑体" w:cs="黑体"/>
                                <w:b/>
                                <w:bCs/>
                                <w:sz w:val="21"/>
                                <w:szCs w:val="21"/>
                                <w:lang w:val="en-US" w:eastAsia="zh-CN"/>
                              </w:rPr>
                              <w:instrText xml:space="preserve"> SEQ 图 \* ARABIC </w:instrText>
                            </w:r>
                            <w:r>
                              <w:rPr>
                                <w:rFonts w:hint="eastAsia" w:ascii="黑体" w:hAnsi="黑体" w:eastAsia="黑体" w:cs="黑体"/>
                                <w:b/>
                                <w:bCs/>
                                <w:sz w:val="21"/>
                                <w:szCs w:val="21"/>
                                <w:lang w:val="en-US" w:eastAsia="zh-CN"/>
                              </w:rPr>
                              <w:fldChar w:fldCharType="separate"/>
                            </w:r>
                            <w:r>
                              <w:rPr>
                                <w:rFonts w:hint="eastAsia" w:ascii="黑体" w:hAnsi="黑体" w:eastAsia="黑体" w:cs="黑体"/>
                                <w:b/>
                                <w:bCs/>
                                <w:sz w:val="21"/>
                                <w:szCs w:val="21"/>
                                <w:lang w:val="en-US" w:eastAsia="zh-CN"/>
                              </w:rPr>
                              <w:t>2</w:t>
                            </w:r>
                            <w:r>
                              <w:rPr>
                                <w:rFonts w:hint="eastAsia" w:ascii="黑体" w:hAnsi="黑体" w:eastAsia="黑体" w:cs="黑体"/>
                                <w:b/>
                                <w:bCs/>
                                <w:sz w:val="21"/>
                                <w:szCs w:val="21"/>
                                <w:lang w:val="en-US" w:eastAsia="zh-CN"/>
                              </w:rPr>
                              <w:fldChar w:fldCharType="end"/>
                            </w:r>
                            <w:r>
                              <w:rPr>
                                <w:rFonts w:hint="eastAsia" w:ascii="黑体" w:hAnsi="黑体" w:eastAsia="黑体" w:cs="黑体"/>
                                <w:b/>
                                <w:bCs/>
                                <w:sz w:val="21"/>
                                <w:szCs w:val="21"/>
                                <w:lang w:val="en-US" w:eastAsia="zh-CN"/>
                              </w:rPr>
                              <w:t xml:space="preserve"> 核心引脚分配</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69.7pt;margin-top:7.65pt;height:17pt;width:277.4pt;mso-wrap-distance-bottom:0pt;mso-wrap-distance-left:9pt;mso-wrap-distance-right:9pt;mso-wrap-distance-top:0pt;z-index:251664384;mso-width-relative:page;mso-height-relative:page;" fillcolor="#FFFFFF [3201]" filled="t" stroked="f" coordsize="21600,21600" o:gfxdata="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O2QhPnbAAAACwEAAA8AAAAAAAAAAQAgAAAAIgAAAGRycy9k&#10;b3ducmV2LnhtbFBLAQIUABQAAAAIAIdO4kALGfAkqgIAAHEFAAAOAAAAAAAAAAEAIAAAACoBAABk&#10;cnMvZTJvRG9jLnhtbFBLBQYAAAAABgAGAFkBAABGBgAAAAA=&#10;">
                <v:fill on="t" focussize="0,0"/>
                <v:stroke on="f" weight="0.5pt"/>
                <v:imagedata o:title=""/>
                <o:lock v:ext="edit" aspectratio="f"/>
                <v:textbox inset="0mm,0mm,0mm,0mm" style="mso-fit-shape-to-text:t;">
                  <w:txbxContent>
                    <w:p w14:paraId="18F08148">
                      <w:pPr>
                        <w:pStyle w:val="11"/>
                        <w:jc w:val="center"/>
                        <w:rPr>
                          <w:rFonts w:hint="default" w:ascii="黑体" w:hAnsi="黑体" w:eastAsia="黑体" w:cs="黑体"/>
                          <w:b/>
                          <w:bCs/>
                          <w:sz w:val="21"/>
                          <w:szCs w:val="21"/>
                          <w:lang w:val="en-US" w:eastAsia="zh-CN"/>
                        </w:rPr>
                      </w:pPr>
                      <w:r>
                        <w:rPr>
                          <w:rFonts w:hint="eastAsia" w:ascii="黑体" w:hAnsi="黑体" w:eastAsia="黑体" w:cs="黑体"/>
                          <w:b/>
                          <w:bCs/>
                          <w:sz w:val="21"/>
                          <w:szCs w:val="21"/>
                          <w:lang w:val="en-US" w:eastAsia="zh-CN"/>
                        </w:rPr>
                        <w:t xml:space="preserve">图 </w:t>
                      </w:r>
                      <w:r>
                        <w:rPr>
                          <w:rFonts w:hint="eastAsia" w:ascii="黑体" w:hAnsi="黑体" w:eastAsia="黑体" w:cs="黑体"/>
                          <w:b/>
                          <w:bCs/>
                          <w:sz w:val="21"/>
                          <w:szCs w:val="21"/>
                          <w:lang w:val="en-US" w:eastAsia="zh-CN"/>
                        </w:rPr>
                        <w:fldChar w:fldCharType="begin"/>
                      </w:r>
                      <w:r>
                        <w:rPr>
                          <w:rFonts w:hint="eastAsia" w:ascii="黑体" w:hAnsi="黑体" w:eastAsia="黑体" w:cs="黑体"/>
                          <w:b/>
                          <w:bCs/>
                          <w:sz w:val="21"/>
                          <w:szCs w:val="21"/>
                          <w:lang w:val="en-US" w:eastAsia="zh-CN"/>
                        </w:rPr>
                        <w:instrText xml:space="preserve"> SEQ 图 \* ARABIC </w:instrText>
                      </w:r>
                      <w:r>
                        <w:rPr>
                          <w:rFonts w:hint="eastAsia" w:ascii="黑体" w:hAnsi="黑体" w:eastAsia="黑体" w:cs="黑体"/>
                          <w:b/>
                          <w:bCs/>
                          <w:sz w:val="21"/>
                          <w:szCs w:val="21"/>
                          <w:lang w:val="en-US" w:eastAsia="zh-CN"/>
                        </w:rPr>
                        <w:fldChar w:fldCharType="separate"/>
                      </w:r>
                      <w:r>
                        <w:rPr>
                          <w:rFonts w:hint="eastAsia" w:ascii="黑体" w:hAnsi="黑体" w:eastAsia="黑体" w:cs="黑体"/>
                          <w:b/>
                          <w:bCs/>
                          <w:sz w:val="21"/>
                          <w:szCs w:val="21"/>
                          <w:lang w:val="en-US" w:eastAsia="zh-CN"/>
                        </w:rPr>
                        <w:t>2</w:t>
                      </w:r>
                      <w:r>
                        <w:rPr>
                          <w:rFonts w:hint="eastAsia" w:ascii="黑体" w:hAnsi="黑体" w:eastAsia="黑体" w:cs="黑体"/>
                          <w:b/>
                          <w:bCs/>
                          <w:sz w:val="21"/>
                          <w:szCs w:val="21"/>
                          <w:lang w:val="en-US" w:eastAsia="zh-CN"/>
                        </w:rPr>
                        <w:fldChar w:fldCharType="end"/>
                      </w:r>
                      <w:r>
                        <w:rPr>
                          <w:rFonts w:hint="eastAsia" w:ascii="黑体" w:hAnsi="黑体" w:eastAsia="黑体" w:cs="黑体"/>
                          <w:b/>
                          <w:bCs/>
                          <w:sz w:val="21"/>
                          <w:szCs w:val="21"/>
                          <w:lang w:val="en-US" w:eastAsia="zh-CN"/>
                        </w:rPr>
                        <w:t xml:space="preserve"> 核心引脚分配</w:t>
                      </w:r>
                    </w:p>
                  </w:txbxContent>
                </v:textbox>
                <w10:wrap type="square"/>
              </v:shape>
            </w:pict>
          </mc:Fallback>
        </mc:AlternateContent>
      </w:r>
    </w:p>
    <w:p w14:paraId="5593674D">
      <w:pPr>
        <w:keepNext w:val="0"/>
        <w:keepLines w:val="0"/>
        <w:pageBreakBefore w:val="0"/>
        <w:widowControl w:val="0"/>
        <w:numPr>
          <w:ilvl w:val="0"/>
          <w:numId w:val="1"/>
        </w:numPr>
        <w:kinsoku/>
        <w:wordWrap/>
        <w:overflowPunct/>
        <w:topLinePunct w:val="0"/>
        <w:autoSpaceDE/>
        <w:autoSpaceDN/>
        <w:bidi w:val="0"/>
        <w:adjustRightInd/>
        <w:snapToGrid/>
        <w:spacing w:after="0" w:line="440" w:lineRule="exact"/>
        <w:ind w:firstLine="480" w:firstLineChars="200"/>
        <w:jc w:val="both"/>
        <w:textAlignment w:val="auto"/>
        <w:rPr>
          <w:rFonts w:ascii="宋体" w:hAnsi="宋体" w:eastAsia="宋体" w:cs="宋体"/>
          <w:sz w:val="24"/>
          <w:szCs w:val="24"/>
        </w:rPr>
      </w:pPr>
      <w:r>
        <w:rPr>
          <w:rFonts w:ascii="宋体" w:hAnsi="宋体" w:eastAsia="宋体" w:cs="宋体"/>
          <w:sz w:val="24"/>
          <w:szCs w:val="24"/>
        </w:rPr>
        <w:t>定时器频率隔离与 CubeMX 配置步骤</w:t>
      </w:r>
    </w:p>
    <w:p w14:paraId="0B185BBF">
      <w:pPr>
        <w:keepNext w:val="0"/>
        <w:keepLines w:val="0"/>
        <w:pageBreakBefore w:val="0"/>
        <w:widowControl w:val="0"/>
        <w:numPr>
          <w:numId w:val="0"/>
        </w:numPr>
        <w:kinsoku/>
        <w:wordWrap/>
        <w:overflowPunct/>
        <w:topLinePunct w:val="0"/>
        <w:autoSpaceDE/>
        <w:autoSpaceDN/>
        <w:bidi w:val="0"/>
        <w:adjustRightInd/>
        <w:snapToGrid/>
        <w:spacing w:after="0" w:line="440" w:lineRule="exact"/>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在多执行器并发的系统中，直流电机所需的驱动频率与数字舵机所需的控制频率存在巨大差异。若共用同一时钟源极易导致信号串扰或舵机抖动休眠。为此，我们在底层配置中</w:t>
      </w:r>
      <w:r>
        <w:rPr>
          <w:rFonts w:hint="eastAsia" w:ascii="宋体" w:hAnsi="宋体" w:eastAsia="宋体" w:cs="宋体"/>
          <w:sz w:val="24"/>
          <w:szCs w:val="24"/>
          <w:lang w:val="en-US" w:eastAsia="zh-CN"/>
        </w:rPr>
        <w:t>格外注意了不同接口的频率设定值。</w:t>
      </w:r>
    </w:p>
    <w:p w14:paraId="6F2D9549">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舵机控制总线（TIM3 - 50Hz 基准）：</w:t>
      </w:r>
    </w:p>
    <w:p w14:paraId="40B1AF4E">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w:t>
      </w:r>
      <w:r>
        <w:rPr>
          <w:rFonts w:hint="default" w:ascii="宋体" w:hAnsi="宋体" w:eastAsia="宋体" w:cs="宋体"/>
          <w:sz w:val="24"/>
          <w:szCs w:val="24"/>
          <w:lang w:val="en-US" w:eastAsia="zh-CN"/>
        </w:rPr>
        <w:t>配置操作： 在 CubeMX 中激活 TIM3 的 Channel 1 (PA6) 与 Channel 2 (PA7) 为 PWM Generation 模式。</w:t>
      </w:r>
    </w:p>
    <w:p w14:paraId="24872177">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w:t>
      </w:r>
      <w:r>
        <w:rPr>
          <w:rFonts w:hint="default" w:ascii="宋体" w:hAnsi="宋体" w:eastAsia="宋体" w:cs="宋体"/>
          <w:sz w:val="24"/>
          <w:szCs w:val="24"/>
          <w:lang w:val="en-US" w:eastAsia="zh-CN"/>
        </w:rPr>
        <w:t>参数解析： 在 168MHz 主频（APB1 定时器时钟为 84MHz）下，将预分频器（Prescaler）设置为 83，使计数器频率降至 1MHz。将自动重装载值（Counter Period）设定为 19999。由此生成极其精确的 20ms（50Hz）周期脉冲，完美契合高扭矩数字舵机所需的信号标准。</w:t>
      </w:r>
    </w:p>
    <w:p w14:paraId="4B7043FD">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动力控制总线（TIM4 - 1kHz 基准）：</w:t>
      </w:r>
    </w:p>
    <w:p w14:paraId="7A8C55A9">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w:t>
      </w:r>
      <w:r>
        <w:rPr>
          <w:rFonts w:hint="default" w:ascii="宋体" w:hAnsi="宋体" w:eastAsia="宋体" w:cs="宋体"/>
          <w:sz w:val="24"/>
          <w:szCs w:val="24"/>
          <w:lang w:val="en-US" w:eastAsia="zh-CN"/>
        </w:rPr>
        <w:t>配置操作： 在 CubeMX 中激活 TIM4 的 Channel 1 (PD12) 与 Channel 2 (PD13) 为 PWM Generation 模式。</w:t>
      </w:r>
    </w:p>
    <w:p w14:paraId="0E59CB6E">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w:t>
      </w:r>
      <w:r>
        <w:rPr>
          <w:rFonts w:hint="default" w:ascii="宋体" w:hAnsi="宋体" w:eastAsia="宋体" w:cs="宋体"/>
          <w:sz w:val="24"/>
          <w:szCs w:val="24"/>
          <w:lang w:val="en-US" w:eastAsia="zh-CN"/>
        </w:rPr>
        <w:t>参数解析： 预分频器同设为 83，但自动重装载值（Counter Period）设为 999。由此生成 1kHz 的高频 PWM 波。该频率能够有效降低 L298N 驱动模块的电磁啸叫，同时 0~1000 的占空比调节范围为软件层面的“平滑过渡算法”与“起步冲刺极限动力”提供了高分辨率的控制空间。</w:t>
      </w:r>
    </w:p>
    <w:p w14:paraId="011A5FD9">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外围 IO 与状态机配置：</w:t>
      </w:r>
    </w:p>
    <w:p w14:paraId="3C4CFE74">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w:t>
      </w:r>
      <w:r>
        <w:rPr>
          <w:rFonts w:hint="default" w:ascii="宋体" w:hAnsi="宋体" w:eastAsia="宋体" w:cs="宋体"/>
          <w:sz w:val="24"/>
          <w:szCs w:val="24"/>
          <w:lang w:val="en-US" w:eastAsia="zh-CN"/>
        </w:rPr>
        <w:t>将 PE0~PE4 配置为 GPIO_Input，并启用内部上拉（Pull-up），以保证按键状态机在低电平触发时的高可靠性与抗干扰能力。</w:t>
      </w:r>
    </w:p>
    <w:p w14:paraId="579A406F">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40" w:firstLineChars="200"/>
        <w:jc w:val="both"/>
        <w:textAlignment w:val="auto"/>
        <w:rPr>
          <w:rFonts w:hint="default" w:ascii="宋体" w:hAnsi="宋体" w:eastAsia="宋体" w:cs="宋体"/>
          <w:sz w:val="24"/>
          <w:szCs w:val="24"/>
          <w:lang w:val="en-US" w:eastAsia="zh-CN"/>
        </w:rPr>
      </w:pPr>
      <w:r>
        <w:rPr>
          <w:sz w:val="22"/>
        </w:rPr>
        <mc:AlternateContent>
          <mc:Choice Requires="wps">
            <w:drawing>
              <wp:anchor distT="0" distB="0" distL="114300" distR="114300" simplePos="0" relativeHeight="251666432" behindDoc="0" locked="0" layoutInCell="1" allowOverlap="1">
                <wp:simplePos x="0" y="0"/>
                <wp:positionH relativeFrom="column">
                  <wp:posOffset>1680845</wp:posOffset>
                </wp:positionH>
                <wp:positionV relativeFrom="paragraph">
                  <wp:posOffset>2722880</wp:posOffset>
                </wp:positionV>
                <wp:extent cx="2181860" cy="215900"/>
                <wp:effectExtent l="0" t="0" r="2540" b="0"/>
                <wp:wrapSquare wrapText="bothSides"/>
                <wp:docPr id="12" name="文本框 12"/>
                <wp:cNvGraphicFramePr/>
                <a:graphic xmlns:a="http://schemas.openxmlformats.org/drawingml/2006/main">
                  <a:graphicData uri="http://schemas.microsoft.com/office/word/2010/wordprocessingShape">
                    <wps:wsp>
                      <wps:cNvSpPr txBox="1"/>
                      <wps:spPr>
                        <a:xfrm>
                          <a:off x="0" y="0"/>
                          <a:ext cx="2181860" cy="2159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5BE2840">
                            <w:pPr>
                              <w:pStyle w:val="11"/>
                              <w:jc w:val="center"/>
                              <w:rPr>
                                <w:rFonts w:hint="default" w:ascii="黑体" w:hAnsi="黑体" w:eastAsia="黑体" w:cs="黑体"/>
                                <w:b/>
                                <w:bCs/>
                                <w:sz w:val="21"/>
                                <w:szCs w:val="21"/>
                                <w:lang w:val="en-US" w:eastAsia="zh-CN"/>
                              </w:rPr>
                            </w:pPr>
                            <w:r>
                              <w:rPr>
                                <w:rFonts w:hint="eastAsia" w:ascii="黑体" w:hAnsi="黑体" w:eastAsia="黑体" w:cs="黑体"/>
                                <w:b/>
                                <w:bCs/>
                                <w:sz w:val="21"/>
                                <w:szCs w:val="21"/>
                                <w:lang w:val="en-US" w:eastAsia="zh-CN"/>
                              </w:rPr>
                              <w:t xml:space="preserve">图 </w:t>
                            </w:r>
                            <w:r>
                              <w:rPr>
                                <w:rFonts w:hint="eastAsia" w:ascii="黑体" w:hAnsi="黑体" w:eastAsia="黑体" w:cs="黑体"/>
                                <w:b/>
                                <w:bCs/>
                                <w:sz w:val="21"/>
                                <w:szCs w:val="21"/>
                                <w:lang w:val="en-US" w:eastAsia="zh-CN"/>
                              </w:rPr>
                              <w:fldChar w:fldCharType="begin"/>
                            </w:r>
                            <w:r>
                              <w:rPr>
                                <w:rFonts w:hint="eastAsia" w:ascii="黑体" w:hAnsi="黑体" w:eastAsia="黑体" w:cs="黑体"/>
                                <w:b/>
                                <w:bCs/>
                                <w:sz w:val="21"/>
                                <w:szCs w:val="21"/>
                                <w:lang w:val="en-US" w:eastAsia="zh-CN"/>
                              </w:rPr>
                              <w:instrText xml:space="preserve"> SEQ 图 \* ARABIC </w:instrText>
                            </w:r>
                            <w:r>
                              <w:rPr>
                                <w:rFonts w:hint="eastAsia" w:ascii="黑体" w:hAnsi="黑体" w:eastAsia="黑体" w:cs="黑体"/>
                                <w:b/>
                                <w:bCs/>
                                <w:sz w:val="21"/>
                                <w:szCs w:val="21"/>
                                <w:lang w:val="en-US" w:eastAsia="zh-CN"/>
                              </w:rPr>
                              <w:fldChar w:fldCharType="separate"/>
                            </w:r>
                            <w:r>
                              <w:rPr>
                                <w:rFonts w:hint="eastAsia" w:ascii="黑体" w:hAnsi="黑体" w:eastAsia="黑体" w:cs="黑体"/>
                                <w:b/>
                                <w:bCs/>
                                <w:sz w:val="21"/>
                                <w:szCs w:val="21"/>
                                <w:lang w:val="en-US" w:eastAsia="zh-CN"/>
                              </w:rPr>
                              <w:t>3</w:t>
                            </w:r>
                            <w:r>
                              <w:rPr>
                                <w:rFonts w:hint="eastAsia" w:ascii="黑体" w:hAnsi="黑体" w:eastAsia="黑体" w:cs="黑体"/>
                                <w:b/>
                                <w:bCs/>
                                <w:sz w:val="21"/>
                                <w:szCs w:val="21"/>
                                <w:lang w:val="en-US" w:eastAsia="zh-CN"/>
                              </w:rPr>
                              <w:fldChar w:fldCharType="end"/>
                            </w:r>
                            <w:r>
                              <w:rPr>
                                <w:rFonts w:hint="eastAsia" w:ascii="黑体" w:hAnsi="黑体" w:eastAsia="黑体" w:cs="黑体"/>
                                <w:b/>
                                <w:bCs/>
                                <w:sz w:val="21"/>
                                <w:szCs w:val="21"/>
                                <w:lang w:val="en-US" w:eastAsia="zh-CN"/>
                              </w:rPr>
                              <w:t xml:space="preserve"> 407引脚设置概念图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32.35pt;margin-top:214.4pt;height:17pt;width:171.8pt;mso-wrap-distance-bottom:0pt;mso-wrap-distance-left:9pt;mso-wrap-distance-right:9pt;mso-wrap-distance-top:0pt;z-index:251666432;mso-width-relative:page;mso-height-relative:page;" fillcolor="#FFFFFF [3201]" filled="t" stroked="f" coordsize="21600,21600" o:gfxdata="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D+FWr/bAAAACwEAAA8AAAAAAAAAAQAgAAAAIgAAAGRycy9k&#10;b3ducmV2LnhtbFBLAQIUABQAAAAIAIdO4kCvWoarqgIAAHEFAAAOAAAAAAAAAAEAIAAAACoBAABk&#10;cnMvZTJvRG9jLnhtbFBLBQYAAAAABgAGAFkBAABGBgAAAAA=&#10;">
                <v:fill on="t" focussize="0,0"/>
                <v:stroke on="f" weight="0.5pt"/>
                <v:imagedata o:title=""/>
                <o:lock v:ext="edit" aspectratio="f"/>
                <v:textbox inset="0mm,0mm,0mm,0mm" style="mso-fit-shape-to-text:t;">
                  <w:txbxContent>
                    <w:p w14:paraId="65BE2840">
                      <w:pPr>
                        <w:pStyle w:val="11"/>
                        <w:jc w:val="center"/>
                        <w:rPr>
                          <w:rFonts w:hint="default" w:ascii="黑体" w:hAnsi="黑体" w:eastAsia="黑体" w:cs="黑体"/>
                          <w:b/>
                          <w:bCs/>
                          <w:sz w:val="21"/>
                          <w:szCs w:val="21"/>
                          <w:lang w:val="en-US" w:eastAsia="zh-CN"/>
                        </w:rPr>
                      </w:pPr>
                      <w:r>
                        <w:rPr>
                          <w:rFonts w:hint="eastAsia" w:ascii="黑体" w:hAnsi="黑体" w:eastAsia="黑体" w:cs="黑体"/>
                          <w:b/>
                          <w:bCs/>
                          <w:sz w:val="21"/>
                          <w:szCs w:val="21"/>
                          <w:lang w:val="en-US" w:eastAsia="zh-CN"/>
                        </w:rPr>
                        <w:t xml:space="preserve">图 </w:t>
                      </w:r>
                      <w:r>
                        <w:rPr>
                          <w:rFonts w:hint="eastAsia" w:ascii="黑体" w:hAnsi="黑体" w:eastAsia="黑体" w:cs="黑体"/>
                          <w:b/>
                          <w:bCs/>
                          <w:sz w:val="21"/>
                          <w:szCs w:val="21"/>
                          <w:lang w:val="en-US" w:eastAsia="zh-CN"/>
                        </w:rPr>
                        <w:fldChar w:fldCharType="begin"/>
                      </w:r>
                      <w:r>
                        <w:rPr>
                          <w:rFonts w:hint="eastAsia" w:ascii="黑体" w:hAnsi="黑体" w:eastAsia="黑体" w:cs="黑体"/>
                          <w:b/>
                          <w:bCs/>
                          <w:sz w:val="21"/>
                          <w:szCs w:val="21"/>
                          <w:lang w:val="en-US" w:eastAsia="zh-CN"/>
                        </w:rPr>
                        <w:instrText xml:space="preserve"> SEQ 图 \* ARABIC </w:instrText>
                      </w:r>
                      <w:r>
                        <w:rPr>
                          <w:rFonts w:hint="eastAsia" w:ascii="黑体" w:hAnsi="黑体" w:eastAsia="黑体" w:cs="黑体"/>
                          <w:b/>
                          <w:bCs/>
                          <w:sz w:val="21"/>
                          <w:szCs w:val="21"/>
                          <w:lang w:val="en-US" w:eastAsia="zh-CN"/>
                        </w:rPr>
                        <w:fldChar w:fldCharType="separate"/>
                      </w:r>
                      <w:r>
                        <w:rPr>
                          <w:rFonts w:hint="eastAsia" w:ascii="黑体" w:hAnsi="黑体" w:eastAsia="黑体" w:cs="黑体"/>
                          <w:b/>
                          <w:bCs/>
                          <w:sz w:val="21"/>
                          <w:szCs w:val="21"/>
                          <w:lang w:val="en-US" w:eastAsia="zh-CN"/>
                        </w:rPr>
                        <w:t>3</w:t>
                      </w:r>
                      <w:r>
                        <w:rPr>
                          <w:rFonts w:hint="eastAsia" w:ascii="黑体" w:hAnsi="黑体" w:eastAsia="黑体" w:cs="黑体"/>
                          <w:b/>
                          <w:bCs/>
                          <w:sz w:val="21"/>
                          <w:szCs w:val="21"/>
                          <w:lang w:val="en-US" w:eastAsia="zh-CN"/>
                        </w:rPr>
                        <w:fldChar w:fldCharType="end"/>
                      </w:r>
                      <w:r>
                        <w:rPr>
                          <w:rFonts w:hint="eastAsia" w:ascii="黑体" w:hAnsi="黑体" w:eastAsia="黑体" w:cs="黑体"/>
                          <w:b/>
                          <w:bCs/>
                          <w:sz w:val="21"/>
                          <w:szCs w:val="21"/>
                          <w:lang w:val="en-US" w:eastAsia="zh-CN"/>
                        </w:rPr>
                        <w:t xml:space="preserve"> 407引脚设置概念图</w:t>
                      </w:r>
                    </w:p>
                  </w:txbxContent>
                </v:textbox>
                <w10:wrap type="square"/>
              </v:shape>
            </w:pict>
          </mc:Fallback>
        </mc:AlternateContent>
      </w:r>
      <w:r>
        <w:drawing>
          <wp:anchor distT="0" distB="0" distL="114300" distR="114300" simplePos="0" relativeHeight="251665408" behindDoc="0" locked="0" layoutInCell="1" allowOverlap="1">
            <wp:simplePos x="0" y="0"/>
            <wp:positionH relativeFrom="column">
              <wp:posOffset>1680845</wp:posOffset>
            </wp:positionH>
            <wp:positionV relativeFrom="paragraph">
              <wp:posOffset>558800</wp:posOffset>
            </wp:positionV>
            <wp:extent cx="2181860" cy="2106930"/>
            <wp:effectExtent l="0" t="0" r="2540" b="1270"/>
            <wp:wrapSquare wrapText="bothSides"/>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9"/>
                    <a:stretch>
                      <a:fillRect/>
                    </a:stretch>
                  </pic:blipFill>
                  <pic:spPr>
                    <a:xfrm>
                      <a:off x="0" y="0"/>
                      <a:ext cx="2181860" cy="2106930"/>
                    </a:xfrm>
                    <a:prstGeom prst="rect">
                      <a:avLst/>
                    </a:prstGeom>
                    <a:noFill/>
                    <a:ln>
                      <a:noFill/>
                    </a:ln>
                  </pic:spPr>
                </pic:pic>
              </a:graphicData>
            </a:graphic>
          </wp:anchor>
        </w:drawing>
      </w:r>
      <w:r>
        <w:rPr>
          <w:rFonts w:hint="eastAsia" w:ascii="宋体" w:hAnsi="宋体" w:eastAsia="宋体" w:cs="宋体"/>
          <w:sz w:val="24"/>
          <w:szCs w:val="24"/>
          <w:lang w:val="en-US" w:eastAsia="zh-CN"/>
        </w:rPr>
        <w:t>②</w:t>
      </w:r>
      <w:r>
        <w:rPr>
          <w:rFonts w:hint="default" w:ascii="宋体" w:hAnsi="宋体" w:eastAsia="宋体" w:cs="宋体"/>
          <w:sz w:val="24"/>
          <w:szCs w:val="24"/>
          <w:lang w:val="en-US" w:eastAsia="zh-CN"/>
        </w:rPr>
        <w:t>将 PD0~PD3 配置为 GPIO_Output (推挽输出)，用于精准切换双路直流电机的前进与非对称反转侧旋状态。</w:t>
      </w:r>
    </w:p>
    <w:p w14:paraId="083E6D69">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textWrapping"/>
      </w:r>
    </w:p>
    <w:p w14:paraId="7D935392">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p>
    <w:p w14:paraId="6677B9E9">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p>
    <w:p w14:paraId="52D3B9AF">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p>
    <w:p w14:paraId="56F1324C">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p>
    <w:p w14:paraId="04C2D175">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p>
    <w:p w14:paraId="1153423B">
      <w:pPr>
        <w:keepNext w:val="0"/>
        <w:keepLines w:val="0"/>
        <w:pageBreakBefore w:val="0"/>
        <w:widowControl w:val="0"/>
        <w:numPr>
          <w:numId w:val="0"/>
        </w:numPr>
        <w:kinsoku/>
        <w:wordWrap/>
        <w:overflowPunct/>
        <w:topLinePunct w:val="0"/>
        <w:autoSpaceDE/>
        <w:autoSpaceDN/>
        <w:bidi w:val="0"/>
        <w:adjustRightInd/>
        <w:snapToGrid/>
        <w:spacing w:after="0" w:line="440" w:lineRule="exact"/>
        <w:ind w:firstLine="480" w:firstLineChars="200"/>
        <w:jc w:val="both"/>
        <w:textAlignment w:val="auto"/>
        <w:rPr>
          <w:rFonts w:hint="default" w:ascii="宋体" w:hAnsi="宋体" w:eastAsia="宋体" w:cs="宋体"/>
          <w:sz w:val="24"/>
          <w:szCs w:val="24"/>
          <w:lang w:val="en-US" w:eastAsia="zh-CN"/>
        </w:rPr>
      </w:pPr>
    </w:p>
    <w:p w14:paraId="03F9129B">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三、核心算法与软件程序设计</w:t>
      </w:r>
    </w:p>
    <w:p w14:paraId="6085AD1F">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程序通过高效的条件分支对底层物理硬件进行极限压榨与精细控制，主要核心算法包含以下四个方面：</w:t>
      </w:r>
    </w:p>
    <w:p w14:paraId="42DDEC02">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1</w:t>
      </w:r>
      <w:r>
        <w:rPr>
          <w:rFonts w:hint="eastAsia" w:ascii="宋体" w:hAnsi="宋体" w:eastAsia="宋体"/>
          <w:sz w:val="24"/>
          <w:lang w:val="en-US" w:eastAsia="zh-CN"/>
        </w:rPr>
        <w:t>.</w:t>
      </w:r>
      <w:r>
        <w:rPr>
          <w:rFonts w:hint="eastAsia" w:ascii="宋体" w:hAnsi="宋体" w:eastAsia="宋体"/>
          <w:sz w:val="24"/>
        </w:rPr>
        <w:t>核心时钟树重构与高可靠性架构</w:t>
      </w:r>
    </w:p>
    <w:p w14:paraId="42F4FFD0">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针对实地测试中可能出现的外部晶振起振失败或信号干扰导致的系统死机问题，本设计在底层将 STM32 的系统时钟（System Clock）重构为纯内部高速时钟（HSI）驱动。通过 PLL 锁相环倍频，强制系统在 168MHz 主频下稳定运行（PLLM = 8, PLLN = 168）。</w:t>
      </w:r>
    </w:p>
    <w:p w14:paraId="68E47597">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这一设计不仅彻底根除了因预留串口（UART）未接外设而导致的中断卡死隐患，更为 TIM3（50Hz 舵机控制）和 TIM4（1kHz 电机控制）提供了极其稳定、无抖动的时钟基准，确保了 PWM 占空比输出的绝对精度。</w:t>
      </w:r>
    </w:p>
    <w:p w14:paraId="53952AA0">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r>
        <w:rPr>
          <w:rFonts w:hint="eastAsia" w:ascii="宋体" w:hAnsi="宋体" w:eastAsia="宋体"/>
          <w:sz w:val="24"/>
          <w:lang w:val="en-US" w:eastAsia="zh-CN"/>
        </w:rPr>
        <w:t>2.静摩擦冲刺起步（Kick‑start）与平滑调速算法</w:t>
      </w:r>
    </w:p>
    <w:p w14:paraId="48E6AD98">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r>
        <w:rPr>
          <w:rFonts w:hint="eastAsia" w:ascii="宋体" w:hAnsi="宋体" w:eastAsia="宋体"/>
          <w:sz w:val="24"/>
          <w:lang w:val="en-US" w:eastAsia="zh-CN"/>
        </w:rPr>
        <w:t>针对 380 直流电机与 L298N 驱动模块组合固有的“静摩擦死区”（即在低档位低 PWM 下，电机齿轮憋载不转）缺陷，系统在平滑速度跟随逻辑中独创性地嵌入了 “Kick‑start”冲刺模块。</w:t>
      </w:r>
    </w:p>
    <w:p w14:paraId="61145A0A">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r>
        <w:rPr>
          <w:rFonts w:hint="eastAsia" w:ascii="宋体" w:hAnsi="宋体" w:eastAsia="宋体"/>
          <w:sz w:val="24"/>
          <w:lang w:val="en-US" w:eastAsia="zh-CN"/>
        </w:rPr>
        <w:t>当 MCU 检测到目标速度由静止状态初次切入运动状态时，算法会拦截常规的线性加速过程，瞬间向驱动器注入高达满功率 80% 的启动占空比（PWM=800），并精确延时 50 毫秒。这段 50ms 的脉冲足以将转速无缝平滑回落至预设的低速挡位，彻底实现了“零卡顿”的柔和平稳启动。核心逻辑如下：</w:t>
      </w:r>
    </w:p>
    <w:p w14:paraId="474191B7">
      <w:pPr>
        <w:keepNext w:val="0"/>
        <w:keepLines w:val="0"/>
        <w:pageBreakBefore w:val="0"/>
        <w:widowControl w:val="0"/>
        <w:kinsoku/>
        <w:wordWrap/>
        <w:overflowPunct/>
        <w:topLinePunct w:val="0"/>
        <w:autoSpaceDE/>
        <w:autoSpaceDN/>
        <w:bidi w:val="0"/>
        <w:adjustRightInd/>
        <w:snapToGrid/>
        <w:spacing w:after="0" w:line="440" w:lineRule="exact"/>
        <w:jc w:val="both"/>
        <w:textAlignment w:val="auto"/>
      </w:pPr>
      <w:r>
        <w:rPr>
          <w:sz w:val="22"/>
        </w:rPr>
        <mc:AlternateContent>
          <mc:Choice Requires="wps">
            <w:drawing>
              <wp:anchor distT="0" distB="0" distL="114300" distR="114300" simplePos="0" relativeHeight="251668480" behindDoc="0" locked="0" layoutInCell="1" allowOverlap="1">
                <wp:simplePos x="0" y="0"/>
                <wp:positionH relativeFrom="column">
                  <wp:posOffset>325755</wp:posOffset>
                </wp:positionH>
                <wp:positionV relativeFrom="paragraph">
                  <wp:posOffset>1870710</wp:posOffset>
                </wp:positionV>
                <wp:extent cx="4592320" cy="215900"/>
                <wp:effectExtent l="0" t="0" r="5080" b="0"/>
                <wp:wrapSquare wrapText="bothSides"/>
                <wp:docPr id="14" name="文本框 14"/>
                <wp:cNvGraphicFramePr/>
                <a:graphic xmlns:a="http://schemas.openxmlformats.org/drawingml/2006/main">
                  <a:graphicData uri="http://schemas.microsoft.com/office/word/2010/wordprocessingShape">
                    <wps:wsp>
                      <wps:cNvSpPr txBox="1"/>
                      <wps:spPr>
                        <a:xfrm>
                          <a:off x="0" y="0"/>
                          <a:ext cx="4592320" cy="2159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33F5442">
                            <w:pPr>
                              <w:pStyle w:val="11"/>
                              <w:jc w:val="center"/>
                              <w:rPr>
                                <w:rFonts w:hint="default" w:ascii="黑体" w:hAnsi="黑体" w:eastAsia="黑体" w:cs="黑体"/>
                                <w:b/>
                                <w:bCs/>
                                <w:sz w:val="21"/>
                                <w:szCs w:val="21"/>
                                <w:lang w:val="en-US" w:eastAsia="zh-CN"/>
                              </w:rPr>
                            </w:pPr>
                            <w:r>
                              <w:rPr>
                                <w:rFonts w:hint="eastAsia" w:ascii="黑体" w:hAnsi="黑体" w:eastAsia="黑体" w:cs="黑体"/>
                                <w:b/>
                                <w:bCs/>
                                <w:sz w:val="21"/>
                                <w:szCs w:val="21"/>
                                <w:lang w:val="en-US" w:eastAsia="zh-CN"/>
                              </w:rPr>
                              <w:t xml:space="preserve">图 </w:t>
                            </w:r>
                            <w:r>
                              <w:rPr>
                                <w:rFonts w:hint="eastAsia" w:ascii="黑体" w:hAnsi="黑体" w:eastAsia="黑体" w:cs="黑体"/>
                                <w:b/>
                                <w:bCs/>
                                <w:sz w:val="21"/>
                                <w:szCs w:val="21"/>
                                <w:lang w:val="en-US" w:eastAsia="zh-CN"/>
                              </w:rPr>
                              <w:fldChar w:fldCharType="begin"/>
                            </w:r>
                            <w:r>
                              <w:rPr>
                                <w:rFonts w:hint="eastAsia" w:ascii="黑体" w:hAnsi="黑体" w:eastAsia="黑体" w:cs="黑体"/>
                                <w:b/>
                                <w:bCs/>
                                <w:sz w:val="21"/>
                                <w:szCs w:val="21"/>
                                <w:lang w:val="en-US" w:eastAsia="zh-CN"/>
                              </w:rPr>
                              <w:instrText xml:space="preserve"> SEQ 图 \* ARABIC </w:instrText>
                            </w:r>
                            <w:r>
                              <w:rPr>
                                <w:rFonts w:hint="eastAsia" w:ascii="黑体" w:hAnsi="黑体" w:eastAsia="黑体" w:cs="黑体"/>
                                <w:b/>
                                <w:bCs/>
                                <w:sz w:val="21"/>
                                <w:szCs w:val="21"/>
                                <w:lang w:val="en-US" w:eastAsia="zh-CN"/>
                              </w:rPr>
                              <w:fldChar w:fldCharType="separate"/>
                            </w:r>
                            <w:r>
                              <w:rPr>
                                <w:rFonts w:hint="eastAsia" w:ascii="黑体" w:hAnsi="黑体" w:eastAsia="黑体" w:cs="黑体"/>
                                <w:b/>
                                <w:bCs/>
                                <w:sz w:val="21"/>
                                <w:szCs w:val="21"/>
                                <w:lang w:val="en-US" w:eastAsia="zh-CN"/>
                              </w:rPr>
                              <w:t>4</w:t>
                            </w:r>
                            <w:r>
                              <w:rPr>
                                <w:rFonts w:hint="eastAsia" w:ascii="黑体" w:hAnsi="黑体" w:eastAsia="黑体" w:cs="黑体"/>
                                <w:b/>
                                <w:bCs/>
                                <w:sz w:val="21"/>
                                <w:szCs w:val="21"/>
                                <w:lang w:val="en-US" w:eastAsia="zh-CN"/>
                              </w:rPr>
                              <w:fldChar w:fldCharType="end"/>
                            </w:r>
                            <w:r>
                              <w:rPr>
                                <w:rFonts w:hint="eastAsia" w:ascii="黑体" w:hAnsi="黑体" w:eastAsia="黑体" w:cs="黑体"/>
                                <w:b/>
                                <w:bCs/>
                                <w:sz w:val="21"/>
                                <w:szCs w:val="21"/>
                                <w:lang w:val="en-US" w:eastAsia="zh-CN"/>
                              </w:rPr>
                              <w:t xml:space="preserve"> 平稳启动代码实现</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5.65pt;margin-top:147.3pt;height:17pt;width:361.6pt;mso-wrap-distance-bottom:0pt;mso-wrap-distance-left:9pt;mso-wrap-distance-right:9pt;mso-wrap-distance-top:0pt;z-index:251668480;mso-width-relative:page;mso-height-relative:page;" fillcolor="#FFFFFF [3201]" filled="t" stroked="f" coordsize="21600,21600" o:gfxdata="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D8Qo5LbAAAACgEAAA8AAAAAAAAAAQAgAAAAIgAAAGRycy9k&#10;b3ducmV2LnhtbFBLAQIUABQAAAAIAIdO4kCaQpiAqgIAAHEFAAAOAAAAAAAAAAEAIAAAACoBAABk&#10;cnMvZTJvRG9jLnhtbFBLBQYAAAAABgAGAFkBAABGBgAAAAA=&#10;">
                <v:fill on="t" focussize="0,0"/>
                <v:stroke on="f" weight="0.5pt"/>
                <v:imagedata o:title=""/>
                <o:lock v:ext="edit" aspectratio="f"/>
                <v:textbox inset="0mm,0mm,0mm,0mm" style="mso-fit-shape-to-text:t;">
                  <w:txbxContent>
                    <w:p w14:paraId="033F5442">
                      <w:pPr>
                        <w:pStyle w:val="11"/>
                        <w:jc w:val="center"/>
                        <w:rPr>
                          <w:rFonts w:hint="default" w:ascii="黑体" w:hAnsi="黑体" w:eastAsia="黑体" w:cs="黑体"/>
                          <w:b/>
                          <w:bCs/>
                          <w:sz w:val="21"/>
                          <w:szCs w:val="21"/>
                          <w:lang w:val="en-US" w:eastAsia="zh-CN"/>
                        </w:rPr>
                      </w:pPr>
                      <w:r>
                        <w:rPr>
                          <w:rFonts w:hint="eastAsia" w:ascii="黑体" w:hAnsi="黑体" w:eastAsia="黑体" w:cs="黑体"/>
                          <w:b/>
                          <w:bCs/>
                          <w:sz w:val="21"/>
                          <w:szCs w:val="21"/>
                          <w:lang w:val="en-US" w:eastAsia="zh-CN"/>
                        </w:rPr>
                        <w:t xml:space="preserve">图 </w:t>
                      </w:r>
                      <w:r>
                        <w:rPr>
                          <w:rFonts w:hint="eastAsia" w:ascii="黑体" w:hAnsi="黑体" w:eastAsia="黑体" w:cs="黑体"/>
                          <w:b/>
                          <w:bCs/>
                          <w:sz w:val="21"/>
                          <w:szCs w:val="21"/>
                          <w:lang w:val="en-US" w:eastAsia="zh-CN"/>
                        </w:rPr>
                        <w:fldChar w:fldCharType="begin"/>
                      </w:r>
                      <w:r>
                        <w:rPr>
                          <w:rFonts w:hint="eastAsia" w:ascii="黑体" w:hAnsi="黑体" w:eastAsia="黑体" w:cs="黑体"/>
                          <w:b/>
                          <w:bCs/>
                          <w:sz w:val="21"/>
                          <w:szCs w:val="21"/>
                          <w:lang w:val="en-US" w:eastAsia="zh-CN"/>
                        </w:rPr>
                        <w:instrText xml:space="preserve"> SEQ 图 \* ARABIC </w:instrText>
                      </w:r>
                      <w:r>
                        <w:rPr>
                          <w:rFonts w:hint="eastAsia" w:ascii="黑体" w:hAnsi="黑体" w:eastAsia="黑体" w:cs="黑体"/>
                          <w:b/>
                          <w:bCs/>
                          <w:sz w:val="21"/>
                          <w:szCs w:val="21"/>
                          <w:lang w:val="en-US" w:eastAsia="zh-CN"/>
                        </w:rPr>
                        <w:fldChar w:fldCharType="separate"/>
                      </w:r>
                      <w:r>
                        <w:rPr>
                          <w:rFonts w:hint="eastAsia" w:ascii="黑体" w:hAnsi="黑体" w:eastAsia="黑体" w:cs="黑体"/>
                          <w:b/>
                          <w:bCs/>
                          <w:sz w:val="21"/>
                          <w:szCs w:val="21"/>
                          <w:lang w:val="en-US" w:eastAsia="zh-CN"/>
                        </w:rPr>
                        <w:t>4</w:t>
                      </w:r>
                      <w:r>
                        <w:rPr>
                          <w:rFonts w:hint="eastAsia" w:ascii="黑体" w:hAnsi="黑体" w:eastAsia="黑体" w:cs="黑体"/>
                          <w:b/>
                          <w:bCs/>
                          <w:sz w:val="21"/>
                          <w:szCs w:val="21"/>
                          <w:lang w:val="en-US" w:eastAsia="zh-CN"/>
                        </w:rPr>
                        <w:fldChar w:fldCharType="end"/>
                      </w:r>
                      <w:r>
                        <w:rPr>
                          <w:rFonts w:hint="eastAsia" w:ascii="黑体" w:hAnsi="黑体" w:eastAsia="黑体" w:cs="黑体"/>
                          <w:b/>
                          <w:bCs/>
                          <w:sz w:val="21"/>
                          <w:szCs w:val="21"/>
                          <w:lang w:val="en-US" w:eastAsia="zh-CN"/>
                        </w:rPr>
                        <w:t xml:space="preserve"> 平稳启动代码实现</w:t>
                      </w:r>
                    </w:p>
                  </w:txbxContent>
                </v:textbox>
                <w10:wrap type="square"/>
              </v:shape>
            </w:pict>
          </mc:Fallback>
        </mc:AlternateContent>
      </w:r>
      <w:r>
        <w:drawing>
          <wp:anchor distT="0" distB="0" distL="114300" distR="114300" simplePos="0" relativeHeight="251667456" behindDoc="0" locked="0" layoutInCell="1" allowOverlap="1">
            <wp:simplePos x="0" y="0"/>
            <wp:positionH relativeFrom="column">
              <wp:posOffset>340995</wp:posOffset>
            </wp:positionH>
            <wp:positionV relativeFrom="paragraph">
              <wp:posOffset>173355</wp:posOffset>
            </wp:positionV>
            <wp:extent cx="4592320" cy="1562100"/>
            <wp:effectExtent l="0" t="0" r="5080" b="0"/>
            <wp:wrapSquare wrapText="bothSides"/>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0"/>
                    <a:stretch>
                      <a:fillRect/>
                    </a:stretch>
                  </pic:blipFill>
                  <pic:spPr>
                    <a:xfrm>
                      <a:off x="0" y="0"/>
                      <a:ext cx="4592320" cy="1562100"/>
                    </a:xfrm>
                    <a:prstGeom prst="rect">
                      <a:avLst/>
                    </a:prstGeom>
                    <a:noFill/>
                    <a:ln>
                      <a:noFill/>
                    </a:ln>
                  </pic:spPr>
                </pic:pic>
              </a:graphicData>
            </a:graphic>
          </wp:anchor>
        </w:drawing>
      </w:r>
    </w:p>
    <w:p w14:paraId="05774825">
      <w:pPr>
        <w:keepNext w:val="0"/>
        <w:keepLines w:val="0"/>
        <w:pageBreakBefore w:val="0"/>
        <w:widowControl w:val="0"/>
        <w:kinsoku/>
        <w:wordWrap/>
        <w:overflowPunct/>
        <w:topLinePunct w:val="0"/>
        <w:autoSpaceDE/>
        <w:autoSpaceDN/>
        <w:bidi w:val="0"/>
        <w:adjustRightInd/>
        <w:snapToGrid/>
        <w:spacing w:after="0" w:line="440" w:lineRule="exact"/>
        <w:ind w:firstLine="440" w:firstLineChars="200"/>
        <w:jc w:val="both"/>
        <w:textAlignment w:val="auto"/>
      </w:pPr>
    </w:p>
    <w:p w14:paraId="5BA0AB55">
      <w:pPr>
        <w:keepNext w:val="0"/>
        <w:keepLines w:val="0"/>
        <w:pageBreakBefore w:val="0"/>
        <w:widowControl w:val="0"/>
        <w:kinsoku/>
        <w:wordWrap/>
        <w:overflowPunct/>
        <w:topLinePunct w:val="0"/>
        <w:autoSpaceDE/>
        <w:autoSpaceDN/>
        <w:bidi w:val="0"/>
        <w:adjustRightInd/>
        <w:snapToGrid/>
        <w:spacing w:after="0" w:line="440" w:lineRule="exact"/>
        <w:jc w:val="both"/>
        <w:textAlignment w:val="auto"/>
      </w:pPr>
    </w:p>
    <w:p w14:paraId="3B57CDB1">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r>
        <w:rPr>
          <w:rFonts w:hint="eastAsia" w:ascii="宋体" w:hAnsi="宋体" w:eastAsia="宋体"/>
          <w:sz w:val="24"/>
          <w:lang w:val="en-US" w:eastAsia="zh-CN"/>
        </w:rPr>
        <w:t>3.基于非对称反转的极限侧旋算法</w:t>
      </w:r>
    </w:p>
    <w:p w14:paraId="34D63138">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r>
        <w:rPr>
          <w:rFonts w:hint="eastAsia" w:ascii="宋体" w:hAnsi="宋体" w:eastAsia="宋体"/>
          <w:sz w:val="24"/>
          <w:lang w:val="en-US" w:eastAsia="zh-CN"/>
        </w:rPr>
        <w:t>为了产生极具威胁的侧旋球，系统在双轮差速的基础上引入了非对称反转逻辑。当启动侧旋模式（如左旋）时，系统不仅让右轮保持目标转速（actual_speed）向前输送动力，同时指令左轮以“半速反转（-actual_speed / 2）”运行。</w:t>
      </w:r>
    </w:p>
    <w:p w14:paraId="5DA2D0C2">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r>
        <w:rPr>
          <w:rFonts w:hint="eastAsia" w:ascii="宋体" w:hAnsi="宋体" w:eastAsia="宋体"/>
          <w:sz w:val="24"/>
          <w:lang w:val="en-US" w:eastAsia="zh-CN"/>
        </w:rPr>
        <w:t>这种逆向切削摩擦在极大削减乒乓球向前动能的同时，将电机输出的能量完全转化为球体的极限侧旋。代码中对反向速度进行了精确的减半限幅，有效避免了因两侧等速反向而导致的“卡球”现象及电机过载烧毁风险。</w:t>
      </w:r>
    </w:p>
    <w:p w14:paraId="74CC20D8">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r>
        <w:rPr>
          <w:rFonts w:hint="eastAsia" w:ascii="宋体" w:hAnsi="宋体" w:eastAsia="宋体"/>
          <w:sz w:val="24"/>
          <w:lang w:val="en-US" w:eastAsia="zh-CN"/>
        </w:rPr>
        <w:t>4.基于多态状态机的云台钟摆运动控制</w:t>
      </w:r>
    </w:p>
    <w:p w14:paraId="6B3BB98A">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r>
        <w:rPr>
          <w:rFonts w:hint="eastAsia" w:ascii="宋体" w:hAnsi="宋体" w:eastAsia="宋体"/>
          <w:sz w:val="24"/>
          <w:lang w:val="en-US" w:eastAsia="zh-CN"/>
        </w:rPr>
        <w:t>为增强发球机的战术多样性与多点打击训练能力，系统的两自由度舵机云台均采用了“多态循环状态机”结合软件消抖的控制策略：</w:t>
      </w:r>
    </w:p>
    <w:p w14:paraId="4930DAAE">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lang w:val="en-US" w:eastAsia="zh-CN"/>
        </w:rPr>
      </w:pPr>
      <w:r>
        <w:rPr>
          <w:rFonts w:hint="eastAsia" w:ascii="宋体" w:hAnsi="宋体" w:eastAsia="宋体"/>
          <w:sz w:val="24"/>
          <w:lang w:val="en-US" w:eastAsia="zh-CN"/>
        </w:rPr>
        <w:t>俯仰角（Pitch）钟摆逻辑： 通过 PE3 按键引入了一个 4 步状态机（pitch_step % 4）。每触发一次，云台依次在 “一跳球(100°) -&gt; 回正平视(90°) -&gt; 两跳球(60°) -&gt; 回正平视(90°)” 之间流转。这种设计使得发射轨迹变化极为连贯，压低到 60° 确保了两跳球的第一落点精准砸向本方近网区。</w:t>
      </w:r>
    </w:p>
    <w:p w14:paraId="3C381E6F">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default"/>
          <w:lang w:val="en-US" w:eastAsia="zh-CN"/>
        </w:rPr>
      </w:pPr>
      <w:r>
        <w:rPr>
          <w:rFonts w:hint="eastAsia" w:ascii="宋体" w:hAnsi="宋体" w:eastAsia="宋体"/>
          <w:sz w:val="24"/>
          <w:lang w:val="en-US" w:eastAsia="zh-CN"/>
        </w:rPr>
        <w:t>偏航角（Yaw）扫掠逻辑： 通过 PE4 按键构建了同构的 4 步状态机。云台水平指向严格按照 “居中(90°) -&gt; 左偏30°(120°) -&gt; 再次居中(90°) -&gt; 右偏30°(60°)” 顺序循环，使发球机无需移动底盘即可完美覆盖球台的左、中、右三大防守区域。</w:t>
      </w:r>
    </w:p>
    <w:p w14:paraId="4AA1395F">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四、测试方案与结果分析</w:t>
      </w:r>
    </w:p>
    <w:p w14:paraId="4E8B63C3">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在系统联调与功能验证阶段，本团队并未盲目进行整机全覆盖测试，而是采取“自底向上”的策略，主要围绕按键交互逻辑、电机动力学响应以及核心控制信号的仪器级（万用表）测定展开。在测试过程中，我们成功定位并解决了一起隐藏极深的底层软硬件耦合故障。</w:t>
      </w:r>
    </w:p>
    <w:p w14:paraId="1DD7E8AE">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1. 动力系统与按键逻辑初测</w:t>
      </w:r>
    </w:p>
    <w:p w14:paraId="78DB3435">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首先断开发射机构主电源，仅对主控与 L298N 逻辑端进行上电。通过操作 PE0~PE2 按键，观察 L298N 驱动板上的逻辑指示灯。结合示波器与万用表交叉验证，确认了 PE0/PE1 的加减档死区跨越（Kick-start 冲刺脉冲）执行准确，且 PE2 触发后，PD12 与 PD13 输出的 1kHz PWM 占空比呈现非对称反转特性，动力与旋球软件逻辑验证通过。</w:t>
      </w:r>
    </w:p>
    <w:p w14:paraId="7D0080CE">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2. 云台舵机“假死”故障与万用表深度排障</w:t>
      </w:r>
    </w:p>
    <w:p w14:paraId="4C039AC6">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在接入云台模块后，系统出现严重故障：高扭矩数字舵机上电后无动作，且摆臂呈“无锁力软瘫”状态。本团队随即使用万用表展开了三步逻辑排查：</w:t>
      </w:r>
    </w:p>
    <w:p w14:paraId="5289D1FD">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2F8F078A">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第一步：供电与共地测量。 经万用表电压档确认，舵机电源端 6V 稳压输入正常，且系统实现了严格的共地。但串联测得系统电流近乎为 0A。由此推断：数字舵机内部的主控芯片因未检测到合法的 50Hz 控制信号，触发了断电休眠保护机制。</w:t>
      </w:r>
    </w:p>
    <w:p w14:paraId="5388B39A">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第二步：极限电平模拟测试。 团队尝试将信号线直接短接至 3.3V 恒定高电平，舵机依然无电流响应。这进一步印证了数字舵机对“频率与占空比”的苛刻要求，排除了线路断路的物理故障。</w:t>
      </w:r>
    </w:p>
    <w:p w14:paraId="0DA73AF4">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第三步：平均电压等效测定（关键突破）。 根据数学推导，标准舵机居中时（90°），需输入周期 20ms（50Hz）、高电平 1.5ms 的脉冲，其占空比约为 7.5%。若单片机正常输出 3.3V 的 PWM，使用万用表直流电压档测得的平均电压应在 0.24V 左右。然而，实测 PA6 与 PA7 引脚对地电压仅为 0.1mV（即 0V）。</w:t>
      </w:r>
    </w:p>
    <w:p w14:paraId="2D9205C6">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3. 故障根因锁定与系统架构修改</w:t>
      </w:r>
    </w:p>
    <w:p w14:paraId="01820658">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“0.1mV”的测量结果直接将物理故障转化为纯软件 Bug。经代码溯源与仿真单步调试，最终锁定系统死机的两大根因：</w:t>
      </w:r>
    </w:p>
    <w:p w14:paraId="1FDB7FC5">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lang w:val="en-US" w:eastAsia="zh-CN"/>
        </w:rPr>
        <w:t>①</w:t>
      </w:r>
      <w:r>
        <w:rPr>
          <w:rFonts w:hint="eastAsia" w:ascii="宋体" w:hAnsi="宋体" w:eastAsia="宋体"/>
          <w:sz w:val="24"/>
        </w:rPr>
        <w:t>外设中断卡死： 原代码保留了冗余的 USART1 串口初始化函数，由于未配置相应的硬件时钟导致 HAL_UART_Init 返回错误，程序在到达 PWM 启动函数前便已跌入 Error_Handler() 无限死循环。</w:t>
      </w:r>
    </w:p>
    <w:p w14:paraId="2CD7B78B">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lang w:val="en-US" w:eastAsia="zh-CN"/>
        </w:rPr>
        <w:t>②</w:t>
      </w:r>
      <w:r>
        <w:rPr>
          <w:rFonts w:hint="eastAsia" w:ascii="宋体" w:hAnsi="宋体" w:eastAsia="宋体"/>
          <w:sz w:val="24"/>
        </w:rPr>
        <w:t>时钟树坍塌： 系统未强制配置 168MHz 的内部核心时钟（HSI+PLL），导致 TIM3 分频公式失效，无法产生正确的 50Hz 周期。</w:t>
      </w:r>
    </w:p>
    <w:p w14:paraId="3C888176">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针对上述问题，团队果断对底层代码进行了“大清洗”：彻底剔除冗余串口代码，重构 SystemClock_Config() 注入 168MHz 锁相环配置。修改烧录并拔除 BOOT0 重启后，万用表测得 PA6 引脚电压瞬间跃升至 0.24V，舵机伴随“咔”声强力锁死。</w:t>
      </w:r>
    </w:p>
    <w:p w14:paraId="42486858">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随后操作 PE3 与 PE4 按键，万用表电压读数在 0.15V ~ 0.35V 之间精准跳变，云台完美呈现“一跳-回正-两跳-回正”的钟摆俯仰动作以及偏航扫掠动作。至此，软硬件逻辑彻底打通，发球机进入全功能稳定运行状态。</w:t>
      </w:r>
    </w:p>
    <w:p w14:paraId="34F0C0FC">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4.2 测试结果评估</w:t>
      </w:r>
    </w:p>
    <w:p w14:paraId="1E70F018">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测试结果表明，系统各项功能均达到预期，具体表现如</w:t>
      </w:r>
      <w:r>
        <w:rPr>
          <w:rFonts w:hint="eastAsia" w:ascii="宋体" w:hAnsi="宋体" w:eastAsia="宋体"/>
          <w:sz w:val="24"/>
          <w:lang w:val="en-US" w:eastAsia="zh-CN"/>
        </w:rPr>
        <w:t>图5</w:t>
      </w:r>
      <w:r>
        <w:rPr>
          <w:rFonts w:hint="eastAsia" w:ascii="宋体" w:hAnsi="宋体" w:eastAsia="宋体"/>
          <w:sz w:val="24"/>
        </w:rPr>
        <w:t>所示。</w:t>
      </w:r>
    </w:p>
    <w:p w14:paraId="529967BD">
      <w:pPr>
        <w:keepNext w:val="0"/>
        <w:keepLines w:val="0"/>
        <w:pageBreakBefore w:val="0"/>
        <w:widowControl w:val="0"/>
        <w:kinsoku/>
        <w:wordWrap/>
        <w:overflowPunct/>
        <w:topLinePunct w:val="0"/>
        <w:autoSpaceDE/>
        <w:autoSpaceDN/>
        <w:bidi w:val="0"/>
        <w:adjustRightInd/>
        <w:snapToGrid/>
        <w:spacing w:after="0" w:line="440" w:lineRule="exact"/>
        <w:jc w:val="both"/>
        <w:textAlignment w:val="auto"/>
        <w:rPr>
          <w:rFonts w:hint="default" w:ascii="宋体" w:hAnsi="宋体" w:eastAsia="宋体"/>
          <w:sz w:val="24"/>
          <w:lang w:val="en-US" w:eastAsia="zh-CN"/>
        </w:rPr>
      </w:pPr>
    </w:p>
    <w:p w14:paraId="2D687270">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p w14:paraId="1C917C23">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sz w:val="24"/>
        </w:rPr>
        <mc:AlternateContent>
          <mc:Choice Requires="wps">
            <w:drawing>
              <wp:anchor distT="0" distB="0" distL="114300" distR="114300" simplePos="0" relativeHeight="251669504" behindDoc="0" locked="0" layoutInCell="1" allowOverlap="1">
                <wp:simplePos x="0" y="0"/>
                <wp:positionH relativeFrom="column">
                  <wp:posOffset>558800</wp:posOffset>
                </wp:positionH>
                <wp:positionV relativeFrom="paragraph">
                  <wp:posOffset>4057015</wp:posOffset>
                </wp:positionV>
                <wp:extent cx="4219575" cy="215900"/>
                <wp:effectExtent l="0" t="0" r="9525" b="0"/>
                <wp:wrapSquare wrapText="bothSides"/>
                <wp:docPr id="15" name="文本框 15"/>
                <wp:cNvGraphicFramePr/>
                <a:graphic xmlns:a="http://schemas.openxmlformats.org/drawingml/2006/main">
                  <a:graphicData uri="http://schemas.microsoft.com/office/word/2010/wordprocessingShape">
                    <wps:wsp>
                      <wps:cNvSpPr txBox="1"/>
                      <wps:spPr>
                        <a:xfrm>
                          <a:off x="0" y="0"/>
                          <a:ext cx="4219575" cy="2159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B366432">
                            <w:pPr>
                              <w:pStyle w:val="11"/>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 xml:space="preserve">图 </w:t>
                            </w:r>
                            <w:r>
                              <w:rPr>
                                <w:rFonts w:hint="eastAsia" w:ascii="黑体" w:hAnsi="黑体" w:eastAsia="黑体" w:cs="黑体"/>
                                <w:b/>
                                <w:bCs/>
                                <w:sz w:val="21"/>
                                <w:szCs w:val="21"/>
                                <w:lang w:val="en-US" w:eastAsia="zh-CN"/>
                              </w:rPr>
                              <w:fldChar w:fldCharType="begin"/>
                            </w:r>
                            <w:r>
                              <w:rPr>
                                <w:rFonts w:hint="eastAsia" w:ascii="黑体" w:hAnsi="黑体" w:eastAsia="黑体" w:cs="黑体"/>
                                <w:b/>
                                <w:bCs/>
                                <w:sz w:val="21"/>
                                <w:szCs w:val="21"/>
                                <w:lang w:val="en-US" w:eastAsia="zh-CN"/>
                              </w:rPr>
                              <w:instrText xml:space="preserve"> SEQ 图 \* ARABIC </w:instrText>
                            </w:r>
                            <w:r>
                              <w:rPr>
                                <w:rFonts w:hint="eastAsia" w:ascii="黑体" w:hAnsi="黑体" w:eastAsia="黑体" w:cs="黑体"/>
                                <w:b/>
                                <w:bCs/>
                                <w:sz w:val="21"/>
                                <w:szCs w:val="21"/>
                                <w:lang w:val="en-US" w:eastAsia="zh-CN"/>
                              </w:rPr>
                              <w:fldChar w:fldCharType="separate"/>
                            </w:r>
                            <w:r>
                              <w:rPr>
                                <w:rFonts w:hint="eastAsia" w:ascii="黑体" w:hAnsi="黑体" w:eastAsia="黑体" w:cs="黑体"/>
                                <w:b/>
                                <w:bCs/>
                                <w:sz w:val="21"/>
                                <w:szCs w:val="21"/>
                                <w:lang w:val="en-US" w:eastAsia="zh-CN"/>
                              </w:rPr>
                              <w:t>5</w:t>
                            </w:r>
                            <w:r>
                              <w:rPr>
                                <w:rFonts w:hint="eastAsia" w:ascii="黑体" w:hAnsi="黑体" w:eastAsia="黑体" w:cs="黑体"/>
                                <w:b/>
                                <w:bCs/>
                                <w:sz w:val="21"/>
                                <w:szCs w:val="21"/>
                                <w:lang w:val="en-US" w:eastAsia="zh-CN"/>
                              </w:rPr>
                              <w:fldChar w:fldCharType="end"/>
                            </w:r>
                            <w:r>
                              <w:rPr>
                                <w:rFonts w:hint="eastAsia" w:ascii="黑体" w:hAnsi="黑体" w:eastAsia="黑体" w:cs="黑体"/>
                                <w:b/>
                                <w:bCs/>
                                <w:sz w:val="21"/>
                                <w:szCs w:val="21"/>
                                <w:lang w:val="en-US" w:eastAsia="zh-CN"/>
                              </w:rPr>
                              <w:t xml:space="preserve"> 测试结果评估</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4pt;margin-top:319.45pt;height:17pt;width:332.25pt;mso-wrap-distance-bottom:0pt;mso-wrap-distance-left:9pt;mso-wrap-distance-right:9pt;mso-wrap-distance-top:0pt;z-index:251669504;mso-width-relative:page;mso-height-relative:page;" fillcolor="#FFFFFF [3201]" filled="t" stroked="f" coordsize="21600,21600" o:gfxdata="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K5PrxDbAAAACgEAAA8AAAAAAAAAAQAgAAAAIgAAAGRycy9k&#10;b3ducmV2LnhtbFBLAQIUABQAAAAIAIdO4kCRNQrKqgIAAHEFAAAOAAAAAAAAAAEAIAAAACoBAABk&#10;cnMvZTJvRG9jLnhtbFBLBQYAAAAABgAGAFkBAABGBgAAAAA=&#10;">
                <v:fill on="t" focussize="0,0"/>
                <v:stroke on="f" weight="0.5pt"/>
                <v:imagedata o:title=""/>
                <o:lock v:ext="edit" aspectratio="f"/>
                <v:textbox inset="0mm,0mm,0mm,0mm" style="mso-fit-shape-to-text:t;">
                  <w:txbxContent>
                    <w:p w14:paraId="4B366432">
                      <w:pPr>
                        <w:pStyle w:val="11"/>
                        <w:jc w:val="center"/>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 xml:space="preserve">图 </w:t>
                      </w:r>
                      <w:r>
                        <w:rPr>
                          <w:rFonts w:hint="eastAsia" w:ascii="黑体" w:hAnsi="黑体" w:eastAsia="黑体" w:cs="黑体"/>
                          <w:b/>
                          <w:bCs/>
                          <w:sz w:val="21"/>
                          <w:szCs w:val="21"/>
                          <w:lang w:val="en-US" w:eastAsia="zh-CN"/>
                        </w:rPr>
                        <w:fldChar w:fldCharType="begin"/>
                      </w:r>
                      <w:r>
                        <w:rPr>
                          <w:rFonts w:hint="eastAsia" w:ascii="黑体" w:hAnsi="黑体" w:eastAsia="黑体" w:cs="黑体"/>
                          <w:b/>
                          <w:bCs/>
                          <w:sz w:val="21"/>
                          <w:szCs w:val="21"/>
                          <w:lang w:val="en-US" w:eastAsia="zh-CN"/>
                        </w:rPr>
                        <w:instrText xml:space="preserve"> SEQ 图 \* ARABIC </w:instrText>
                      </w:r>
                      <w:r>
                        <w:rPr>
                          <w:rFonts w:hint="eastAsia" w:ascii="黑体" w:hAnsi="黑体" w:eastAsia="黑体" w:cs="黑体"/>
                          <w:b/>
                          <w:bCs/>
                          <w:sz w:val="21"/>
                          <w:szCs w:val="21"/>
                          <w:lang w:val="en-US" w:eastAsia="zh-CN"/>
                        </w:rPr>
                        <w:fldChar w:fldCharType="separate"/>
                      </w:r>
                      <w:r>
                        <w:rPr>
                          <w:rFonts w:hint="eastAsia" w:ascii="黑体" w:hAnsi="黑体" w:eastAsia="黑体" w:cs="黑体"/>
                          <w:b/>
                          <w:bCs/>
                          <w:sz w:val="21"/>
                          <w:szCs w:val="21"/>
                          <w:lang w:val="en-US" w:eastAsia="zh-CN"/>
                        </w:rPr>
                        <w:t>5</w:t>
                      </w:r>
                      <w:r>
                        <w:rPr>
                          <w:rFonts w:hint="eastAsia" w:ascii="黑体" w:hAnsi="黑体" w:eastAsia="黑体" w:cs="黑体"/>
                          <w:b/>
                          <w:bCs/>
                          <w:sz w:val="21"/>
                          <w:szCs w:val="21"/>
                          <w:lang w:val="en-US" w:eastAsia="zh-CN"/>
                        </w:rPr>
                        <w:fldChar w:fldCharType="end"/>
                      </w:r>
                      <w:r>
                        <w:rPr>
                          <w:rFonts w:hint="eastAsia" w:ascii="黑体" w:hAnsi="黑体" w:eastAsia="黑体" w:cs="黑体"/>
                          <w:b/>
                          <w:bCs/>
                          <w:sz w:val="21"/>
                          <w:szCs w:val="21"/>
                          <w:lang w:val="en-US" w:eastAsia="zh-CN"/>
                        </w:rPr>
                        <w:t xml:space="preserve"> 测试结果评估</w:t>
                      </w:r>
                    </w:p>
                  </w:txbxContent>
                </v:textbox>
                <w10:wrap type="square"/>
              </v:shape>
            </w:pict>
          </mc:Fallback>
        </mc:AlternateContent>
      </w:r>
      <w:r>
        <w:rPr>
          <w:rFonts w:hint="eastAsia" w:ascii="宋体" w:hAnsi="宋体" w:eastAsia="宋体"/>
          <w:sz w:val="24"/>
        </w:rPr>
        <w:drawing>
          <wp:anchor distT="0" distB="0" distL="114300" distR="114300" simplePos="0" relativeHeight="251660288" behindDoc="0" locked="0" layoutInCell="1" allowOverlap="1">
            <wp:simplePos x="0" y="0"/>
            <wp:positionH relativeFrom="column">
              <wp:posOffset>2540</wp:posOffset>
            </wp:positionH>
            <wp:positionV relativeFrom="paragraph">
              <wp:posOffset>14605</wp:posOffset>
            </wp:positionV>
            <wp:extent cx="5269865" cy="3910965"/>
            <wp:effectExtent l="0" t="0" r="635" b="635"/>
            <wp:wrapSquare wrapText="bothSides"/>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5269865" cy="3910965"/>
                    </a:xfrm>
                    <a:prstGeom prst="rect">
                      <a:avLst/>
                    </a:prstGeom>
                    <a:noFill/>
                    <a:ln>
                      <a:noFill/>
                    </a:ln>
                  </pic:spPr>
                </pic:pic>
              </a:graphicData>
            </a:graphic>
          </wp:anchor>
        </w:drawing>
      </w:r>
    </w:p>
    <w:p w14:paraId="2016CD1B">
      <w:pPr>
        <w:keepNext w:val="0"/>
        <w:keepLines w:val="0"/>
        <w:pageBreakBefore w:val="0"/>
        <w:widowControl w:val="0"/>
        <w:kinsoku/>
        <w:wordWrap/>
        <w:overflowPunct/>
        <w:topLinePunct w:val="0"/>
        <w:autoSpaceDE/>
        <w:autoSpaceDN/>
        <w:bidi w:val="0"/>
        <w:adjustRightInd/>
        <w:snapToGrid/>
        <w:spacing w:after="0" w:line="440" w:lineRule="exact"/>
        <w:jc w:val="both"/>
        <w:textAlignment w:val="auto"/>
        <w:rPr>
          <w:rFonts w:hint="eastAsia" w:ascii="宋体" w:hAnsi="宋体" w:eastAsia="宋体"/>
          <w:sz w:val="24"/>
        </w:rPr>
      </w:pPr>
    </w:p>
    <w:p w14:paraId="410B947C">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五、总结与展望</w:t>
      </w:r>
    </w:p>
    <w:p w14:paraId="27C5341C">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本设计立足于有限的硬件资源，以STM32F407为核心控制枢纽，成功开发了一款多功能乒乓球发球机系统。项目中最大的技术亮点在于：利用极具创新的纯软件算法（HSV降维模型、Kick‑start冲刺启动、非对称反转侧旋），完美弥补并跨越了廉价摄像头色差大、L298N驱动压降高以及直流电机静摩擦大的物理硬件缺陷。此外，手动舵机云台的引入使发球机能够灵活变换落点，进一步贴近实战训练需求。系统运行稳定可靠，交互逻辑流畅。</w:t>
      </w:r>
    </w:p>
    <w:p w14:paraId="536CE8F7">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r>
        <w:rPr>
          <w:rFonts w:hint="eastAsia" w:ascii="宋体" w:hAnsi="宋体" w:eastAsia="宋体"/>
          <w:sz w:val="24"/>
        </w:rPr>
        <w:t>在后续的升级优化中，我们计划将ESP32‑CAM的视觉坐标反馈与舵机云台相结合，实现闭环实时追踪与全台面自动扫掠射击，使系统的智能化水平迈向更高阶梯。同时，可增加蓝牙/手机App遥控功能，提升用户操作便捷性。</w:t>
      </w:r>
    </w:p>
    <w:p w14:paraId="00FD21FC">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eastAsia" w:ascii="宋体" w:hAnsi="宋体" w:eastAsia="宋体"/>
          <w:sz w:val="24"/>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7132F">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F3C673">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6F3C673">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C23497"/>
    <w:multiLevelType w:val="singleLevel"/>
    <w:tmpl w:val="FCC23497"/>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8E"/>
    <w:rsid w:val="00405D58"/>
    <w:rsid w:val="008F11D0"/>
    <w:rsid w:val="00C0378E"/>
    <w:rsid w:val="00C43DA1"/>
    <w:rsid w:val="00C5233F"/>
    <w:rsid w:val="018502B5"/>
    <w:rsid w:val="066E4A0B"/>
    <w:rsid w:val="0D6B751D"/>
    <w:rsid w:val="11CB5DE8"/>
    <w:rsid w:val="14CA3726"/>
    <w:rsid w:val="3CE274FA"/>
    <w:rsid w:val="43795431"/>
    <w:rsid w:val="46536C5B"/>
    <w:rsid w:val="485E45A0"/>
    <w:rsid w:val="499E44F2"/>
    <w:rsid w:val="5902344D"/>
    <w:rsid w:val="5FEB1EC2"/>
    <w:rsid w:val="627E711E"/>
    <w:rsid w:val="6E622E7D"/>
    <w:rsid w:val="6EE4675B"/>
    <w:rsid w:val="71C33AB7"/>
    <w:rsid w:val="73D10584"/>
    <w:rsid w:val="750353C1"/>
    <w:rsid w:val="7CD43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footer"/>
    <w:basedOn w:val="1"/>
    <w:semiHidden/>
    <w:unhideWhenUsed/>
    <w:uiPriority w:val="99"/>
    <w:pPr>
      <w:tabs>
        <w:tab w:val="center" w:pos="4153"/>
        <w:tab w:val="right" w:pos="8306"/>
      </w:tabs>
      <w:snapToGrid w:val="0"/>
      <w:jc w:val="left"/>
    </w:pPr>
    <w:rPr>
      <w:sz w:val="18"/>
    </w:rPr>
  </w:style>
  <w:style w:type="paragraph" w:styleId="1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qFormat/>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3204</Words>
  <Characters>3826</Characters>
  <Lines>75</Lines>
  <Paragraphs>39</Paragraphs>
  <TotalTime>7</TotalTime>
  <ScaleCrop>false</ScaleCrop>
  <LinksUpToDate>false</LinksUpToDate>
  <CharactersWithSpaces>4268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2026-06-07T09:09:00Z</dcterms:created>
  <dc:creator>蕴芳 段</dc:creator>
  <cp:lastModifiedBy>情系上海滩</cp:lastModifiedBy>
  <dcterms:modified xsi:type="dcterms:W3CDTF">2026-06-07T11:58:23Z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eyJoZGlkIjoiNzExZTU3OGI5ZWIzNzhjY2E1MGJlYzY5ZTBkYzRiNzEiLCJ1c2VySWQiOiIxMzc2NDA5NCJ9</vt:lpwstr>
  </property>
  <property fmtid="{D5CDD505-2E9C-101B-9397-08002B2CF9AE}" pid="3" name="KSOProductBuildVer">
    <vt:lpwstr>2052-12.1.0.26375</vt:lpwstr>
  </property>
  <property fmtid="{D5CDD505-2E9C-101B-9397-08002B2CF9AE}" pid="4" name="ICV">
    <vt:lpwstr>6C3DD094D3C3498981145385857A92D8_12</vt:lpwstr>
  </property>
</Properties>
</file>