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0"/>
          <w:szCs w:val="60"/>
          <w:rtl w:val="0"/>
        </w:rPr>
        <w:t xml:space="preserve">REVER INMOBILIARIA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Arquitectura de Microservicios  ·  Patrón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Documento Técnico de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Miguel Gómez  ·  Kevin Arévalo  ·  Johnny Cardozo </w:t>
      </w:r>
      <w:r w:rsidDel="00000000" w:rsidR="00000000" w:rsidRPr="00000000">
        <w:rPr>
          <w:color w:val="444444"/>
          <w:rtl w:val="0"/>
        </w:rPr>
        <w:t xml:space="preserve"> · Aaron Quintana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Bogotá, Colombia  ·  202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Arquitectura de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plataforma Rever Inmobiliaria se estructura como una colección de servicios independientes, cada uno con una responsabilidad única, comunicados entre sí a través de un API Gateway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¿Por qué elegimos Microservicios?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Escalabilidad (RNF-05):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Permite agregar el módulo de pagos PSE o el modelo freemium sin rediseñar el sistema 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Rendimiento (RNF-01):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Search Service puede escalar horizontalmente en picos de tráfico sin afectar los otros módulos.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Disponibilidad (RNF-04):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fallo en la integración con Google Maps no interrumpe el login ni la publicación de inmuebles.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Mantenibilidad (RNF-07):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equipo backend y frontend pueden trabajar y desplegar en paralelo por servicio independiente.</w:t>
      </w:r>
    </w:p>
    <w:p w:rsidR="00000000" w:rsidDel="00000000" w:rsidP="00000000" w:rsidRDefault="00000000" w:rsidRPr="00000000" w14:paraId="0000000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20"/>
        <w:gridCol w:w="2200"/>
        <w:gridCol w:w="1800"/>
        <w:tblGridChange w:id="0">
          <w:tblGrid>
            <w:gridCol w:w="2100"/>
            <w:gridCol w:w="3620"/>
            <w:gridCol w:w="2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Microservicio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Registro, login, JWT y control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RF-01,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Property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CRUD de publicaciones y flujo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RF-03, RF-04,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Cloudinary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Search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Filtros por precio, barrio, tipo y amenidades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PostgreSQL full-text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Geolocation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Google Maps y geocodificación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Maps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Correos SMTP y enlaces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Nodemailer + SMTP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Dashboard, moderación de contenido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Punto de entrada único; enrutamiento y rate-limiting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RNF-01, RNF-02,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NGINX / Express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05500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Figura 1. Microservicios de Rever Inmobiliaria con los Singletons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Patrón de Diseño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Singleton garantiza que una clase tenga una única instancia durante toda la vida del proceso. Dentro de cada microservicio Node.js, se aplica a los recursos costosos de inicializar: conexiones de base de datos, clientes de APIs externas y el logger centralizado.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¿Por qué elegimos Singleton?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Eficiencia (RNF-01 &lt; 3 seg):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Reutilizar el pool de conexiones PostgreSQL elimina la latencia del handshake TCP en cada petición HTTP.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Restricción de infraestructura: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plan gratuito de Railway permite máximo 25 conexiones simultáneas; el Singleton administra ese límite globalmente.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Coherencia de configuración: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credenciales de Cloudinary, Google Maps y SMTP se cargan una sola vez; no hay riesgo de configuraciones divergentes entre módulos.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Trazabilidad (RNF-07):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logger Winston único garantiza formato coherente en todos los servicios, facilitando el versionado y la auditoría de logs.</w:t>
      </w:r>
    </w:p>
    <w:p w:rsidR="00000000" w:rsidDel="00000000" w:rsidP="00000000" w:rsidRDefault="00000000" w:rsidRPr="00000000" w14:paraId="0000003B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400"/>
        <w:gridCol w:w="2320"/>
        <w:tblGridChange w:id="0">
          <w:tblGrid>
            <w:gridCol w:w="2400"/>
            <w:gridCol w:w="2600"/>
            <w:gridCol w:w="2400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 que lo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Recurso que gestiona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DatabaseConnection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Auth, Property, Search,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Pool de conexiones PostgreSQL (máx.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RNF-01, RNF-04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CloudinaryClient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Property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Carga y URL de fotografías de 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RF-03,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MailTransporter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Pool de conexiones SMTP (Nodemailer)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MapsClient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Geolocation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Sesión autenticada con Google Maps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AppLogger (Winston)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Logger con formato y nivel de log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microservicios dividen el sistema en módulos autónomos alineados con cada bloque funcional de los requisitos, habilitando escalabilidad y despliegue independiente. El patrón Singleton complementa esta arquitectura gestionando de forma eficiente los recursos costosos dentro de cada proceso, cumpliendo las restricciones de rendimiento y la limitación de conexiones del entorno de despliegue. Juntos, conforman una base técnica sólida y sostenible para Rever Inmobiliaria.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color="d6e4f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Equipo ADSI: Miguel Gómez · Kevin Arévalo · Johnny Cardozo </w:t>
    </w:r>
    <w:r w:rsidDel="00000000" w:rsidR="00000000" w:rsidRPr="00000000">
      <w:rPr>
        <w:color w:val="888888"/>
        <w:sz w:val="17"/>
        <w:szCs w:val="17"/>
        <w:rtl w:val="0"/>
      </w:rPr>
      <w:t xml:space="preserve">· Aaron Quintana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  |  Bogotá, 202</w:t>
    </w:r>
    <w:r w:rsidDel="00000000" w:rsidR="00000000" w:rsidRPr="00000000">
      <w:rPr>
        <w:color w:val="888888"/>
        <w:sz w:val="17"/>
        <w:szCs w:val="17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d6e4f0" w:space="4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REVER INMOBILIARIA  |  Arquitectura de Microservicios &amp; Patrón Singleton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nNikIihV8lsmyNJmEzJud41VQ==">CgMxLjA4AHIhMXNmQlFMdVhQOWNzdG50OUhFakJFeExVLWFMODFub2RU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