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1A00E" w14:textId="77777777" w:rsidR="00DA5ECA" w:rsidRDefault="00000000">
      <w:pPr>
        <w:spacing w:after="100"/>
        <w:jc w:val="center"/>
      </w:pPr>
      <w:r>
        <w:rPr>
          <w:b/>
          <w:bCs/>
          <w:color w:val="1F3864"/>
          <w:sz w:val="60"/>
          <w:szCs w:val="60"/>
        </w:rPr>
        <w:t>REVER INMOBILIARIA</w:t>
      </w:r>
    </w:p>
    <w:p w14:paraId="618638CD" w14:textId="77777777" w:rsidR="00DA5ECA" w:rsidRDefault="00000000">
      <w:pPr>
        <w:spacing w:after="500"/>
        <w:jc w:val="center"/>
      </w:pPr>
      <w:r>
        <w:rPr>
          <w:color w:val="2E75B6"/>
          <w:sz w:val="34"/>
          <w:szCs w:val="34"/>
        </w:rPr>
        <w:t>Arquitectura de Microservicios  ·  Patrón Singleton</w:t>
      </w:r>
    </w:p>
    <w:p w14:paraId="753DEE6E" w14:textId="77777777" w:rsidR="00DA5ECA" w:rsidRDefault="00000000">
      <w:pPr>
        <w:spacing w:after="80"/>
        <w:jc w:val="center"/>
      </w:pPr>
      <w:r>
        <w:rPr>
          <w:i/>
          <w:iCs/>
          <w:color w:val="666666"/>
          <w:sz w:val="22"/>
          <w:szCs w:val="22"/>
        </w:rPr>
        <w:t>Documento Técnico de Diseño de Software</w:t>
      </w:r>
    </w:p>
    <w:p w14:paraId="63F0E99F" w14:textId="77777777" w:rsidR="00DA5ECA" w:rsidRDefault="00000000">
      <w:pPr>
        <w:spacing w:after="60"/>
        <w:jc w:val="center"/>
      </w:pPr>
      <w:r>
        <w:rPr>
          <w:color w:val="444444"/>
        </w:rPr>
        <w:t>Miguel Gómez  ·  Kevin Arévalo  ·  Johnny Cardozo  · Aaron Quintana</w:t>
      </w:r>
    </w:p>
    <w:p w14:paraId="2C3F55C0" w14:textId="77777777" w:rsidR="00DA5ECA" w:rsidRDefault="00000000">
      <w:pPr>
        <w:jc w:val="center"/>
      </w:pPr>
      <w:r>
        <w:rPr>
          <w:color w:val="999999"/>
          <w:sz w:val="20"/>
          <w:szCs w:val="20"/>
        </w:rPr>
        <w:t>Bogotá, Colombia  ·  2026</w:t>
      </w:r>
    </w:p>
    <w:p w14:paraId="14C96A30" w14:textId="77777777" w:rsidR="00DA5ECA" w:rsidRDefault="00000000">
      <w:r>
        <w:br w:type="page"/>
      </w:r>
    </w:p>
    <w:p w14:paraId="0DFB7933" w14:textId="77777777" w:rsidR="00DA5ECA" w:rsidRDefault="00000000">
      <w:pPr>
        <w:pStyle w:val="Ttulo1"/>
        <w:pBdr>
          <w:bottom w:val="single" w:sz="6" w:space="4" w:color="2E75B6"/>
        </w:pBdr>
      </w:pPr>
      <w:r>
        <w:lastRenderedPageBreak/>
        <w:t>1. Arquitectura de Microservicios</w:t>
      </w:r>
    </w:p>
    <w:p w14:paraId="03655121" w14:textId="77777777" w:rsidR="00DA5ECA" w:rsidRDefault="00000000">
      <w:pPr>
        <w:spacing w:before="60" w:after="100"/>
        <w:jc w:val="both"/>
      </w:pPr>
      <w:r>
        <w:t>La plataforma Rever Inmobiliaria se estructura como una colección de servicios independientes, cada uno con una responsabilidad única, comunicados entre sí a través de un API Gateway central.</w:t>
      </w:r>
    </w:p>
    <w:p w14:paraId="60E609EC" w14:textId="77777777" w:rsidR="00DA5ECA" w:rsidRDefault="00000000">
      <w:pPr>
        <w:pStyle w:val="Ttulo2"/>
      </w:pPr>
      <w:r>
        <w:t>¿Por qué elegimos Microservicios?</w:t>
      </w:r>
    </w:p>
    <w:p w14:paraId="74177FA5" w14:textId="77777777" w:rsidR="00DA5EC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</w:pPr>
      <w:r>
        <w:rPr>
          <w:b/>
          <w:bCs/>
          <w:color w:val="2E75B6"/>
        </w:rPr>
        <w:t xml:space="preserve">Escalabilidad (RNF-05): </w:t>
      </w:r>
      <w:r>
        <w:rPr>
          <w:color w:val="000000"/>
        </w:rPr>
        <w:t>Permite agregar el módulo de pagos PSE o el modelo freemium sin rediseñar el sistema base.</w:t>
      </w:r>
    </w:p>
    <w:p w14:paraId="4488BFC6" w14:textId="77777777" w:rsidR="00DA5EC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</w:pPr>
      <w:r>
        <w:rPr>
          <w:b/>
          <w:bCs/>
          <w:color w:val="2E75B6"/>
        </w:rPr>
        <w:t xml:space="preserve">Rendimiento (RNF-01): </w:t>
      </w:r>
      <w:r>
        <w:rPr>
          <w:color w:val="000000"/>
        </w:rPr>
        <w:t>El Search Service puede escalar horizontalmente en picos de tráfico sin afectar los otros módulos.</w:t>
      </w:r>
    </w:p>
    <w:p w14:paraId="4D31D8E2" w14:textId="77777777" w:rsidR="00DA5EC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</w:pPr>
      <w:r>
        <w:rPr>
          <w:b/>
          <w:bCs/>
          <w:color w:val="2E75B6"/>
        </w:rPr>
        <w:t xml:space="preserve">Disponibilidad (RNF-04): </w:t>
      </w:r>
      <w:r>
        <w:rPr>
          <w:color w:val="000000"/>
        </w:rPr>
        <w:t>Un fallo en la integración con Google Maps no interrumpe el login ni la publicación de inmuebles.</w:t>
      </w:r>
    </w:p>
    <w:p w14:paraId="0C5A3AA9" w14:textId="77777777" w:rsidR="00DA5EC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</w:pPr>
      <w:r>
        <w:rPr>
          <w:b/>
          <w:bCs/>
          <w:color w:val="2E75B6"/>
        </w:rPr>
        <w:t xml:space="preserve">Mantenibilidad (RNF-07): </w:t>
      </w:r>
      <w:r>
        <w:rPr>
          <w:color w:val="000000"/>
        </w:rPr>
        <w:t>El equipo backend y frontend pueden trabajar y desplegar en paralelo por servicio independiente.</w:t>
      </w:r>
    </w:p>
    <w:p w14:paraId="7C890FBA" w14:textId="77777777" w:rsidR="00DA5ECA" w:rsidRDefault="00DA5ECA">
      <w:pPr>
        <w:spacing w:before="160" w:after="80"/>
      </w:pPr>
    </w:p>
    <w:tbl>
      <w:tblPr>
        <w:tblStyle w:val="a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00"/>
        <w:gridCol w:w="3620"/>
        <w:gridCol w:w="2200"/>
        <w:gridCol w:w="1800"/>
      </w:tblGrid>
      <w:tr w:rsidR="00DA5ECA" w14:paraId="5C61DCDE" w14:textId="77777777">
        <w:trPr>
          <w:tblHeader/>
        </w:trPr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D4476" w14:textId="77777777" w:rsidR="00DA5ECA" w:rsidRDefault="00000000">
            <w:r>
              <w:rPr>
                <w:b/>
                <w:bCs/>
                <w:color w:val="FFFFFF"/>
                <w:sz w:val="19"/>
                <w:szCs w:val="19"/>
              </w:rPr>
              <w:t>Microservicio</w:t>
            </w:r>
          </w:p>
        </w:tc>
        <w:tc>
          <w:tcPr>
            <w:tcW w:w="3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8404E" w14:textId="77777777" w:rsidR="00DA5ECA" w:rsidRDefault="00000000"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7B738" w14:textId="77777777" w:rsidR="00DA5ECA" w:rsidRDefault="00000000"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CB2BD" w14:textId="77777777" w:rsidR="00DA5ECA" w:rsidRDefault="00000000"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</w:tr>
      <w:tr w:rsidR="00DA5ECA" w14:paraId="1269C08E" w14:textId="77777777"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3132E" w14:textId="77777777" w:rsidR="00DA5ECA" w:rsidRDefault="00000000">
            <w:r>
              <w:rPr>
                <w:color w:val="000000"/>
                <w:sz w:val="18"/>
                <w:szCs w:val="18"/>
              </w:rPr>
              <w:t>Auth Service</w:t>
            </w:r>
          </w:p>
        </w:tc>
        <w:tc>
          <w:tcPr>
            <w:tcW w:w="3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3A015" w14:textId="77777777" w:rsidR="00DA5ECA" w:rsidRDefault="00000000">
            <w:r>
              <w:rPr>
                <w:color w:val="000000"/>
                <w:sz w:val="18"/>
                <w:szCs w:val="18"/>
              </w:rPr>
              <w:t>Registro, login, JWT y control de roles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10D55" w14:textId="77777777" w:rsidR="00DA5ECA" w:rsidRDefault="00000000">
            <w:r>
              <w:rPr>
                <w:color w:val="000000"/>
                <w:sz w:val="18"/>
                <w:szCs w:val="18"/>
              </w:rPr>
              <w:t>RF-01, RF-02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96F90" w14:textId="77777777" w:rsidR="00DA5ECA" w:rsidRDefault="00000000">
            <w:r>
              <w:rPr>
                <w:color w:val="000000"/>
                <w:sz w:val="18"/>
                <w:szCs w:val="18"/>
              </w:rPr>
              <w:t>Node.js + bcrypt</w:t>
            </w:r>
          </w:p>
        </w:tc>
      </w:tr>
      <w:tr w:rsidR="00DA5ECA" w14:paraId="6DB2BCBF" w14:textId="77777777"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CC7DF" w14:textId="77777777" w:rsidR="00DA5ECA" w:rsidRDefault="00000000">
            <w:r>
              <w:rPr>
                <w:color w:val="000000"/>
                <w:sz w:val="18"/>
                <w:szCs w:val="18"/>
              </w:rPr>
              <w:t>Property Service</w:t>
            </w:r>
          </w:p>
        </w:tc>
        <w:tc>
          <w:tcPr>
            <w:tcW w:w="3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CB05F" w14:textId="77777777" w:rsidR="00DA5ECA" w:rsidRDefault="00000000">
            <w:r>
              <w:rPr>
                <w:color w:val="000000"/>
                <w:sz w:val="18"/>
                <w:szCs w:val="18"/>
              </w:rPr>
              <w:t>CRUD de publicaciones y flujo de aprobación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6F7D1" w14:textId="77777777" w:rsidR="00DA5ECA" w:rsidRDefault="00000000">
            <w:r>
              <w:rPr>
                <w:color w:val="000000"/>
                <w:sz w:val="18"/>
                <w:szCs w:val="18"/>
              </w:rPr>
              <w:t>RF-03, RF-04, RF-09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DD574" w14:textId="77777777" w:rsidR="00DA5ECA" w:rsidRDefault="00000000">
            <w:r>
              <w:rPr>
                <w:color w:val="000000"/>
                <w:sz w:val="18"/>
                <w:szCs w:val="18"/>
              </w:rPr>
              <w:t>Node.js + Cloudinary</w:t>
            </w:r>
          </w:p>
        </w:tc>
      </w:tr>
      <w:tr w:rsidR="00DA5ECA" w14:paraId="62DA57DF" w14:textId="77777777"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FE405" w14:textId="77777777" w:rsidR="00DA5ECA" w:rsidRDefault="00000000">
            <w:r>
              <w:rPr>
                <w:color w:val="000000"/>
                <w:sz w:val="18"/>
                <w:szCs w:val="18"/>
              </w:rPr>
              <w:t>Search Service</w:t>
            </w:r>
          </w:p>
        </w:tc>
        <w:tc>
          <w:tcPr>
            <w:tcW w:w="3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B7EBC" w14:textId="77777777" w:rsidR="00DA5ECA" w:rsidRDefault="00000000">
            <w:r>
              <w:rPr>
                <w:color w:val="000000"/>
                <w:sz w:val="18"/>
                <w:szCs w:val="18"/>
              </w:rPr>
              <w:t>Filtros por precio, barrio, tipo y amenidades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9FA4B" w14:textId="77777777" w:rsidR="00DA5ECA" w:rsidRDefault="00000000">
            <w:r>
              <w:rPr>
                <w:color w:val="000000"/>
                <w:sz w:val="18"/>
                <w:szCs w:val="18"/>
              </w:rPr>
              <w:t>RF-05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3DCCD" w14:textId="77777777" w:rsidR="00DA5ECA" w:rsidRDefault="00000000">
            <w:r>
              <w:rPr>
                <w:color w:val="000000"/>
                <w:sz w:val="18"/>
                <w:szCs w:val="18"/>
              </w:rPr>
              <w:t>PostgreSQL full-text</w:t>
            </w:r>
          </w:p>
        </w:tc>
      </w:tr>
      <w:tr w:rsidR="00DA5ECA" w14:paraId="6BD99210" w14:textId="77777777"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9F713" w14:textId="77777777" w:rsidR="00DA5ECA" w:rsidRDefault="00000000">
            <w:r>
              <w:rPr>
                <w:color w:val="000000"/>
                <w:sz w:val="18"/>
                <w:szCs w:val="18"/>
              </w:rPr>
              <w:t>Geolocation Service</w:t>
            </w:r>
          </w:p>
        </w:tc>
        <w:tc>
          <w:tcPr>
            <w:tcW w:w="3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897C7" w14:textId="77777777" w:rsidR="00DA5ECA" w:rsidRDefault="00000000">
            <w:r>
              <w:rPr>
                <w:color w:val="000000"/>
                <w:sz w:val="18"/>
                <w:szCs w:val="18"/>
              </w:rPr>
              <w:t>Integración Google Maps y geocodificación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37B25" w14:textId="77777777" w:rsidR="00DA5ECA" w:rsidRDefault="00000000">
            <w:r>
              <w:rPr>
                <w:color w:val="000000"/>
                <w:sz w:val="18"/>
                <w:szCs w:val="18"/>
              </w:rPr>
              <w:t>RF-06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809B7" w14:textId="77777777" w:rsidR="00DA5ECA" w:rsidRDefault="00000000">
            <w:r>
              <w:rPr>
                <w:color w:val="000000"/>
                <w:sz w:val="18"/>
                <w:szCs w:val="18"/>
              </w:rPr>
              <w:t>Google Maps SDK</w:t>
            </w:r>
          </w:p>
        </w:tc>
      </w:tr>
      <w:tr w:rsidR="00DA5ECA" w14:paraId="6FC76D3D" w14:textId="77777777"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54ED3" w14:textId="77777777" w:rsidR="00DA5ECA" w:rsidRDefault="00000000">
            <w:r>
              <w:rPr>
                <w:color w:val="000000"/>
                <w:sz w:val="18"/>
                <w:szCs w:val="18"/>
              </w:rPr>
              <w:t>Notification Service</w:t>
            </w:r>
          </w:p>
        </w:tc>
        <w:tc>
          <w:tcPr>
            <w:tcW w:w="3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DB46A" w14:textId="77777777" w:rsidR="00DA5ECA" w:rsidRDefault="00000000">
            <w:r>
              <w:rPr>
                <w:color w:val="000000"/>
                <w:sz w:val="18"/>
                <w:szCs w:val="18"/>
              </w:rPr>
              <w:t>Correos SMTP y enlaces WhatsApp Business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F3674" w14:textId="77777777" w:rsidR="00DA5ECA" w:rsidRDefault="00000000">
            <w:r>
              <w:rPr>
                <w:color w:val="000000"/>
                <w:sz w:val="18"/>
                <w:szCs w:val="18"/>
              </w:rPr>
              <w:t>RF-07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8C201" w14:textId="77777777" w:rsidR="00DA5ECA" w:rsidRDefault="00000000">
            <w:r>
              <w:rPr>
                <w:color w:val="000000"/>
                <w:sz w:val="18"/>
                <w:szCs w:val="18"/>
              </w:rPr>
              <w:t>Nodemailer + SMTP</w:t>
            </w:r>
          </w:p>
        </w:tc>
      </w:tr>
      <w:tr w:rsidR="00DA5ECA" w14:paraId="304F6089" w14:textId="77777777"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6A4EF" w14:textId="77777777" w:rsidR="00DA5ECA" w:rsidRDefault="00000000">
            <w:r>
              <w:rPr>
                <w:color w:val="000000"/>
                <w:sz w:val="18"/>
                <w:szCs w:val="18"/>
              </w:rPr>
              <w:t>Admin Service</w:t>
            </w:r>
          </w:p>
        </w:tc>
        <w:tc>
          <w:tcPr>
            <w:tcW w:w="3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254B2" w14:textId="77777777" w:rsidR="00DA5ECA" w:rsidRDefault="00000000">
            <w:r>
              <w:rPr>
                <w:color w:val="000000"/>
                <w:sz w:val="18"/>
                <w:szCs w:val="18"/>
              </w:rPr>
              <w:t>Dashboard, moderación de contenido y métricas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7EB68" w14:textId="77777777" w:rsidR="00DA5ECA" w:rsidRDefault="00000000">
            <w:r>
              <w:rPr>
                <w:color w:val="000000"/>
                <w:sz w:val="18"/>
                <w:szCs w:val="18"/>
              </w:rPr>
              <w:t>RF-08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EDE34" w14:textId="77777777" w:rsidR="00DA5ECA" w:rsidRDefault="00000000">
            <w:r>
              <w:rPr>
                <w:color w:val="000000"/>
                <w:sz w:val="18"/>
                <w:szCs w:val="18"/>
              </w:rPr>
              <w:t>Node.js + PostgreSQL</w:t>
            </w:r>
          </w:p>
        </w:tc>
      </w:tr>
      <w:tr w:rsidR="00DA5ECA" w14:paraId="63FD85E6" w14:textId="77777777"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733F8" w14:textId="77777777" w:rsidR="00DA5ECA" w:rsidRDefault="00000000">
            <w:r>
              <w:rPr>
                <w:color w:val="000000"/>
                <w:sz w:val="18"/>
                <w:szCs w:val="18"/>
              </w:rPr>
              <w:t>API Gateway</w:t>
            </w:r>
          </w:p>
        </w:tc>
        <w:tc>
          <w:tcPr>
            <w:tcW w:w="3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1A6E2" w14:textId="77777777" w:rsidR="00DA5ECA" w:rsidRDefault="00000000">
            <w:r>
              <w:rPr>
                <w:color w:val="000000"/>
                <w:sz w:val="18"/>
                <w:szCs w:val="18"/>
              </w:rPr>
              <w:t>Punto de entrada único; enrutamiento y rate-limiting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BF442" w14:textId="77777777" w:rsidR="00DA5ECA" w:rsidRDefault="00000000">
            <w:r>
              <w:rPr>
                <w:color w:val="000000"/>
                <w:sz w:val="18"/>
                <w:szCs w:val="18"/>
              </w:rPr>
              <w:t>RNF-01, RNF-02, RNF-04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65EBE" w14:textId="77777777" w:rsidR="00DA5ECA" w:rsidRDefault="00000000">
            <w:r>
              <w:rPr>
                <w:color w:val="000000"/>
                <w:sz w:val="18"/>
                <w:szCs w:val="18"/>
              </w:rPr>
              <w:t>NGINX / Express</w:t>
            </w:r>
          </w:p>
        </w:tc>
      </w:tr>
    </w:tbl>
    <w:p w14:paraId="1006B175" w14:textId="77777777" w:rsidR="00DA5ECA" w:rsidRDefault="00DA5ECA">
      <w:pPr>
        <w:spacing w:before="200" w:after="100"/>
      </w:pPr>
    </w:p>
    <w:p w14:paraId="6BD2945E" w14:textId="77777777" w:rsidR="00DA5ECA" w:rsidRDefault="00000000">
      <w:pPr>
        <w:pStyle w:val="Ttulo1"/>
        <w:pBdr>
          <w:bottom w:val="single" w:sz="6" w:space="4" w:color="2E75B6"/>
        </w:pBdr>
      </w:pPr>
      <w:r>
        <w:t>2. Diagrama de Arquitectura</w:t>
      </w:r>
    </w:p>
    <w:p w14:paraId="0892C334" w14:textId="77777777" w:rsidR="00DA5ECA" w:rsidRDefault="00DA5ECA">
      <w:pPr>
        <w:spacing w:before="80" w:after="80"/>
      </w:pPr>
    </w:p>
    <w:p w14:paraId="0157487C" w14:textId="77777777" w:rsidR="00DA5EC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402C6FE" wp14:editId="79989DBD">
            <wp:extent cx="5905500" cy="38004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800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845F11" w14:textId="77777777" w:rsidR="00DA5ECA" w:rsidRDefault="00000000">
      <w:pPr>
        <w:spacing w:before="80" w:after="200"/>
        <w:jc w:val="center"/>
      </w:pPr>
      <w:r>
        <w:rPr>
          <w:i/>
          <w:iCs/>
          <w:color w:val="666666"/>
          <w:sz w:val="18"/>
          <w:szCs w:val="18"/>
        </w:rPr>
        <w:t>Figura 1. Microservicios de Rever Inmobiliaria con los Singletons de cada servicio.</w:t>
      </w:r>
    </w:p>
    <w:p w14:paraId="4D3FD47C" w14:textId="77777777" w:rsidR="00DA5ECA" w:rsidRDefault="00000000">
      <w:pPr>
        <w:pStyle w:val="Ttulo1"/>
        <w:pBdr>
          <w:bottom w:val="single" w:sz="6" w:space="4" w:color="2E75B6"/>
        </w:pBdr>
      </w:pPr>
      <w:r>
        <w:t>3. Patrón de Diseño Singleton</w:t>
      </w:r>
    </w:p>
    <w:p w14:paraId="24C77F10" w14:textId="77777777" w:rsidR="00DA5ECA" w:rsidRDefault="00000000">
      <w:pPr>
        <w:spacing w:before="60" w:after="100"/>
        <w:jc w:val="both"/>
      </w:pPr>
      <w:r>
        <w:t>El Singleton garantiza que una clase tenga una única instancia durante toda la vida del proceso. Dentro de cada microservicio Node.js, se aplica a los recursos costosos de inicializar: conexiones de base de datos, clientes de APIs externas y el logger centralizado.</w:t>
      </w:r>
    </w:p>
    <w:p w14:paraId="14625B16" w14:textId="77777777" w:rsidR="00DA5ECA" w:rsidRDefault="00000000">
      <w:pPr>
        <w:pStyle w:val="Ttulo2"/>
      </w:pPr>
      <w:r>
        <w:t>¿Por qué elegimos Singleton?</w:t>
      </w:r>
    </w:p>
    <w:p w14:paraId="1C4D1F67" w14:textId="77777777" w:rsidR="00DA5EC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</w:pPr>
      <w:r>
        <w:rPr>
          <w:b/>
          <w:bCs/>
          <w:color w:val="2E75B6"/>
        </w:rPr>
        <w:t xml:space="preserve">Eficiencia (RNF-01 &lt; 3 seg): </w:t>
      </w:r>
      <w:r>
        <w:rPr>
          <w:color w:val="000000"/>
        </w:rPr>
        <w:t>Reutilizar el pool de conexiones PostgreSQL elimina la latencia del handshake TCP en cada petición HTTP.</w:t>
      </w:r>
    </w:p>
    <w:p w14:paraId="55BA8609" w14:textId="77777777" w:rsidR="00DA5EC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</w:pPr>
      <w:r>
        <w:rPr>
          <w:b/>
          <w:bCs/>
          <w:color w:val="2E75B6"/>
        </w:rPr>
        <w:t xml:space="preserve">Restricción de infraestructura: </w:t>
      </w:r>
      <w:r>
        <w:rPr>
          <w:color w:val="000000"/>
        </w:rPr>
        <w:t>El plan gratuito de Railway permite máximo 25 conexiones simultáneas; el Singleton administra ese límite globalmente.</w:t>
      </w:r>
    </w:p>
    <w:p w14:paraId="6FB4FC61" w14:textId="77777777" w:rsidR="00DA5EC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</w:pPr>
      <w:r>
        <w:rPr>
          <w:b/>
          <w:bCs/>
          <w:color w:val="2E75B6"/>
        </w:rPr>
        <w:t xml:space="preserve">Coherencia de configuración: </w:t>
      </w:r>
      <w:r>
        <w:rPr>
          <w:color w:val="000000"/>
        </w:rPr>
        <w:t>Las credenciales de Cloudinary, Google Maps y SMTP se cargan una sola vez; no hay riesgo de configuraciones divergentes entre módulos.</w:t>
      </w:r>
    </w:p>
    <w:p w14:paraId="0D4311C6" w14:textId="77777777" w:rsidR="00DA5EC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</w:pPr>
      <w:r>
        <w:rPr>
          <w:b/>
          <w:bCs/>
          <w:color w:val="2E75B6"/>
        </w:rPr>
        <w:t xml:space="preserve">Trazabilidad (RNF-07): </w:t>
      </w:r>
      <w:r>
        <w:rPr>
          <w:color w:val="000000"/>
        </w:rPr>
        <w:t>El logger Winston único garantiza formato coherente en todos los servicios, facilitando el versionado y la auditoría de logs.</w:t>
      </w:r>
    </w:p>
    <w:p w14:paraId="610D8835" w14:textId="77777777" w:rsidR="00DA5ECA" w:rsidRDefault="00DA5ECA">
      <w:pPr>
        <w:spacing w:before="160" w:after="80"/>
      </w:pPr>
    </w:p>
    <w:tbl>
      <w:tblPr>
        <w:tblStyle w:val="a0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2600"/>
        <w:gridCol w:w="2400"/>
        <w:gridCol w:w="2320"/>
      </w:tblGrid>
      <w:tr w:rsidR="00DA5ECA" w14:paraId="2A54AE87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F4AB2" w14:textId="77777777" w:rsidR="00DA5ECA" w:rsidRDefault="00000000">
            <w:r>
              <w:rPr>
                <w:b/>
                <w:bCs/>
                <w:color w:val="FFFFFF"/>
                <w:sz w:val="19"/>
                <w:szCs w:val="19"/>
              </w:rPr>
              <w:t>Singleton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168A7" w14:textId="77777777" w:rsidR="00DA5ECA" w:rsidRDefault="00000000">
            <w:r>
              <w:rPr>
                <w:b/>
                <w:bCs/>
                <w:color w:val="FFFFFF"/>
                <w:sz w:val="19"/>
                <w:szCs w:val="19"/>
              </w:rPr>
              <w:t>Servicio que lo usa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8AE47" w14:textId="77777777" w:rsidR="00DA5ECA" w:rsidRDefault="00000000">
            <w:r>
              <w:rPr>
                <w:b/>
                <w:bCs/>
                <w:color w:val="FFFFFF"/>
                <w:sz w:val="19"/>
                <w:szCs w:val="19"/>
              </w:rPr>
              <w:t>Recurso que gestiona</w:t>
            </w:r>
          </w:p>
        </w:tc>
        <w:tc>
          <w:tcPr>
            <w:tcW w:w="2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2AAF0" w14:textId="77777777" w:rsidR="00DA5ECA" w:rsidRDefault="00000000"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</w:tr>
      <w:tr w:rsidR="00DA5ECA" w14:paraId="2A000119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835C1" w14:textId="77777777" w:rsidR="00DA5ECA" w:rsidRDefault="00000000">
            <w:r>
              <w:rPr>
                <w:color w:val="000000"/>
                <w:sz w:val="18"/>
                <w:szCs w:val="18"/>
              </w:rPr>
              <w:t>DatabaseConnection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2F63E" w14:textId="77777777" w:rsidR="00DA5ECA" w:rsidRDefault="00000000">
            <w:r>
              <w:rPr>
                <w:color w:val="000000"/>
                <w:sz w:val="18"/>
                <w:szCs w:val="18"/>
              </w:rPr>
              <w:t>Auth, Property, Search, Admin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D8D26" w14:textId="77777777" w:rsidR="00DA5ECA" w:rsidRDefault="00000000">
            <w:r>
              <w:rPr>
                <w:color w:val="000000"/>
                <w:sz w:val="18"/>
                <w:szCs w:val="18"/>
              </w:rPr>
              <w:t>Pool de conexiones PostgreSQL (máx. 20)</w:t>
            </w:r>
          </w:p>
        </w:tc>
        <w:tc>
          <w:tcPr>
            <w:tcW w:w="2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CE8E9" w14:textId="77777777" w:rsidR="00DA5ECA" w:rsidRDefault="00000000">
            <w:r>
              <w:rPr>
                <w:color w:val="000000"/>
                <w:sz w:val="18"/>
                <w:szCs w:val="18"/>
              </w:rPr>
              <w:t>RNF-01, RNF-04</w:t>
            </w:r>
          </w:p>
        </w:tc>
      </w:tr>
      <w:tr w:rsidR="00DA5ECA" w14:paraId="4422DA06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6D660" w14:textId="77777777" w:rsidR="00DA5ECA" w:rsidRDefault="00000000">
            <w:r>
              <w:rPr>
                <w:color w:val="000000"/>
                <w:sz w:val="18"/>
                <w:szCs w:val="18"/>
              </w:rPr>
              <w:t>CloudinaryClient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B06DB" w14:textId="77777777" w:rsidR="00DA5ECA" w:rsidRDefault="00000000">
            <w:r>
              <w:rPr>
                <w:color w:val="000000"/>
                <w:sz w:val="18"/>
                <w:szCs w:val="18"/>
              </w:rPr>
              <w:t>Property Service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2BB33" w14:textId="77777777" w:rsidR="00DA5ECA" w:rsidRDefault="00000000">
            <w:r>
              <w:rPr>
                <w:color w:val="000000"/>
                <w:sz w:val="18"/>
                <w:szCs w:val="18"/>
              </w:rPr>
              <w:t>Carga y URL de fotografías de inmuebles</w:t>
            </w:r>
          </w:p>
        </w:tc>
        <w:tc>
          <w:tcPr>
            <w:tcW w:w="2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483D8" w14:textId="77777777" w:rsidR="00DA5ECA" w:rsidRDefault="00000000">
            <w:r>
              <w:rPr>
                <w:color w:val="000000"/>
                <w:sz w:val="18"/>
                <w:szCs w:val="18"/>
              </w:rPr>
              <w:t>RF-03, RF-10</w:t>
            </w:r>
          </w:p>
        </w:tc>
      </w:tr>
      <w:tr w:rsidR="00DA5ECA" w14:paraId="76E6F37F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2E908" w14:textId="77777777" w:rsidR="00DA5ECA" w:rsidRDefault="00000000">
            <w:r>
              <w:rPr>
                <w:color w:val="000000"/>
                <w:sz w:val="18"/>
                <w:szCs w:val="18"/>
              </w:rPr>
              <w:lastRenderedPageBreak/>
              <w:t>MailTransporter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28B02" w14:textId="77777777" w:rsidR="00DA5ECA" w:rsidRDefault="00000000">
            <w:r>
              <w:rPr>
                <w:color w:val="000000"/>
                <w:sz w:val="18"/>
                <w:szCs w:val="18"/>
              </w:rPr>
              <w:t>Notification Service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BA0EC" w14:textId="77777777" w:rsidR="00DA5ECA" w:rsidRDefault="00000000">
            <w:r>
              <w:rPr>
                <w:color w:val="000000"/>
                <w:sz w:val="18"/>
                <w:szCs w:val="18"/>
              </w:rPr>
              <w:t>Pool de conexiones SMTP (Nodemailer)</w:t>
            </w:r>
          </w:p>
        </w:tc>
        <w:tc>
          <w:tcPr>
            <w:tcW w:w="2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9455D" w14:textId="77777777" w:rsidR="00DA5ECA" w:rsidRDefault="00000000">
            <w:r>
              <w:rPr>
                <w:color w:val="000000"/>
                <w:sz w:val="18"/>
                <w:szCs w:val="18"/>
              </w:rPr>
              <w:t>RF-07</w:t>
            </w:r>
          </w:p>
        </w:tc>
      </w:tr>
      <w:tr w:rsidR="00DA5ECA" w14:paraId="20EDC7A4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852F0" w14:textId="77777777" w:rsidR="00DA5ECA" w:rsidRDefault="00000000">
            <w:r>
              <w:rPr>
                <w:color w:val="000000"/>
                <w:sz w:val="18"/>
                <w:szCs w:val="18"/>
              </w:rPr>
              <w:t>MapsClient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28825" w14:textId="77777777" w:rsidR="00DA5ECA" w:rsidRDefault="00000000">
            <w:r>
              <w:rPr>
                <w:color w:val="000000"/>
                <w:sz w:val="18"/>
                <w:szCs w:val="18"/>
              </w:rPr>
              <w:t>Geolocation Service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DCDCD" w14:textId="77777777" w:rsidR="00DA5ECA" w:rsidRDefault="00000000">
            <w:r>
              <w:rPr>
                <w:color w:val="000000"/>
                <w:sz w:val="18"/>
                <w:szCs w:val="18"/>
              </w:rPr>
              <w:t>Sesión autenticada con Google Maps SDK</w:t>
            </w:r>
          </w:p>
        </w:tc>
        <w:tc>
          <w:tcPr>
            <w:tcW w:w="2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D33EC" w14:textId="77777777" w:rsidR="00DA5ECA" w:rsidRDefault="00000000">
            <w:r>
              <w:rPr>
                <w:color w:val="000000"/>
                <w:sz w:val="18"/>
                <w:szCs w:val="18"/>
              </w:rPr>
              <w:t>RF-06</w:t>
            </w:r>
          </w:p>
        </w:tc>
      </w:tr>
      <w:tr w:rsidR="00DA5ECA" w14:paraId="04A8F6C7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0AF6D" w14:textId="77777777" w:rsidR="00DA5ECA" w:rsidRDefault="00000000">
            <w:r>
              <w:rPr>
                <w:color w:val="000000"/>
                <w:sz w:val="18"/>
                <w:szCs w:val="18"/>
              </w:rPr>
              <w:t>AppLogger (Winston)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6C20F" w14:textId="77777777" w:rsidR="00DA5ECA" w:rsidRDefault="00000000">
            <w:r>
              <w:rPr>
                <w:color w:val="000000"/>
                <w:sz w:val="18"/>
                <w:szCs w:val="18"/>
              </w:rPr>
              <w:t>Todos los servicios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FB502" w14:textId="77777777" w:rsidR="00DA5ECA" w:rsidRDefault="00000000">
            <w:r>
              <w:rPr>
                <w:color w:val="000000"/>
                <w:sz w:val="18"/>
                <w:szCs w:val="18"/>
              </w:rPr>
              <w:t>Logger con formato y nivel de log unificado</w:t>
            </w:r>
          </w:p>
        </w:tc>
        <w:tc>
          <w:tcPr>
            <w:tcW w:w="2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FD55C" w14:textId="77777777" w:rsidR="00DA5ECA" w:rsidRDefault="00000000">
            <w:r>
              <w:rPr>
                <w:color w:val="000000"/>
                <w:sz w:val="18"/>
                <w:szCs w:val="18"/>
              </w:rPr>
              <w:t>RNF-07</w:t>
            </w:r>
          </w:p>
        </w:tc>
      </w:tr>
    </w:tbl>
    <w:p w14:paraId="610FE74A" w14:textId="77777777" w:rsidR="00DA5ECA" w:rsidRDefault="00DA5ECA">
      <w:pPr>
        <w:spacing w:before="200"/>
      </w:pPr>
    </w:p>
    <w:p w14:paraId="3A28E829" w14:textId="77777777" w:rsidR="00DA5ECA" w:rsidRDefault="00000000">
      <w:pPr>
        <w:pStyle w:val="Ttulo1"/>
        <w:pBdr>
          <w:bottom w:val="single" w:sz="6" w:space="4" w:color="2E75B6"/>
        </w:pBdr>
      </w:pPr>
      <w:r>
        <w:t>4. Conclusión</w:t>
      </w:r>
    </w:p>
    <w:p w14:paraId="4E5F4469" w14:textId="77777777" w:rsidR="00DA5ECA" w:rsidRDefault="00000000">
      <w:pPr>
        <w:spacing w:before="60" w:after="100"/>
        <w:jc w:val="both"/>
      </w:pPr>
      <w:r>
        <w:t>Los microservicios dividen el sistema en módulos autónomos alineados con cada bloque funcional de los requisitos, habilitando escalabilidad y despliegue independiente. El patrón Singleton complementa esta arquitectura gestionando de forma eficiente los recursos costosos dentro de cada proceso, cumpliendo las restricciones de rendimiento y la limitación de conexiones del entorno de despliegue. Juntos, conforman una base técnica sólida y sostenible para Rever Inmobiliaria.</w:t>
      </w:r>
    </w:p>
    <w:p w14:paraId="37D04FFB" w14:textId="77777777" w:rsidR="00DA5ECA" w:rsidRDefault="00DA5ECA">
      <w:pPr>
        <w:spacing w:before="300"/>
      </w:pPr>
    </w:p>
    <w:p w14:paraId="4D990FDF" w14:textId="77777777" w:rsidR="00DA5ECA" w:rsidRDefault="00DA5ECA">
      <w:pPr>
        <w:jc w:val="center"/>
      </w:pPr>
    </w:p>
    <w:sectPr w:rsidR="00DA5ECA">
      <w:headerReference w:type="default" r:id="rId9"/>
      <w:footerReference w:type="default" r:id="rId10"/>
      <w:pgSz w:w="12240" w:h="15840"/>
      <w:pgMar w:top="1440" w:right="1260" w:bottom="1440" w:left="126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660E3" w14:textId="77777777" w:rsidR="00667D47" w:rsidRDefault="00667D47">
      <w:r>
        <w:separator/>
      </w:r>
    </w:p>
  </w:endnote>
  <w:endnote w:type="continuationSeparator" w:id="0">
    <w:p w14:paraId="44567FAD" w14:textId="77777777" w:rsidR="00667D47" w:rsidRDefault="00667D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4500BE8E-1BDE-40F0-8669-8461ADEEED9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7DFEC7C-FDE9-4A5D-81F6-ADA206E2537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B4C68E6-EB1D-40A7-9186-AF1F58B678F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999E3" w14:textId="77777777" w:rsidR="00DA5ECA" w:rsidRDefault="00000000">
    <w:pPr>
      <w:pBdr>
        <w:top w:val="single" w:sz="4" w:space="4" w:color="D6E4F0"/>
      </w:pBdr>
      <w:jc w:val="center"/>
    </w:pPr>
    <w:r>
      <w:rPr>
        <w:color w:val="888888"/>
        <w:sz w:val="17"/>
        <w:szCs w:val="17"/>
      </w:rPr>
      <w:t>Equipo ADSI: Miguel Gómez · Kevin Arévalo · Johnny Cardozo · Aaron Quintana  |  Bogotá,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DBD91" w14:textId="77777777" w:rsidR="00667D47" w:rsidRDefault="00667D47">
      <w:r>
        <w:separator/>
      </w:r>
    </w:p>
  </w:footnote>
  <w:footnote w:type="continuationSeparator" w:id="0">
    <w:p w14:paraId="54DA807C" w14:textId="77777777" w:rsidR="00667D47" w:rsidRDefault="00667D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D0808" w14:textId="77777777" w:rsidR="00DA5ECA" w:rsidRDefault="00000000">
    <w:pPr>
      <w:pBdr>
        <w:bottom w:val="single" w:sz="4" w:space="4" w:color="D6E4F0"/>
      </w:pBdr>
    </w:pPr>
    <w:r>
      <w:rPr>
        <w:color w:val="888888"/>
        <w:sz w:val="18"/>
        <w:szCs w:val="18"/>
      </w:rPr>
      <w:t>REVER INMOBILIARIA  |  Arquitectura de Microservicios &amp; Patrón Singleton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142D26"/>
    <w:multiLevelType w:val="multilevel"/>
    <w:tmpl w:val="69B83090"/>
    <w:lvl w:ilvl="0">
      <w:start w:val="1"/>
      <w:numFmt w:val="bullet"/>
      <w:lvlText w:val="•"/>
      <w:lvlJc w:val="left"/>
      <w:pPr>
        <w:ind w:left="560" w:hanging="2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062943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ECA"/>
    <w:rsid w:val="00107F16"/>
    <w:rsid w:val="00667D47"/>
    <w:rsid w:val="0071225C"/>
    <w:rsid w:val="00DA5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DE00EDE"/>
  <w15:docId w15:val="{DEE9F6BA-5723-4509-97B1-34661528F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MnNikIihV8lsmyNJmEzJud41VQ==">CgMxLjA4AHIhMXNmQlFMdVhQOWNzdG50OUhFakJFeExVLWFMODFub2RU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566</Words>
  <Characters>3113</Characters>
  <Application>Microsoft Office Word</Application>
  <DocSecurity>0</DocSecurity>
  <Lines>25</Lines>
  <Paragraphs>7</Paragraphs>
  <ScaleCrop>false</ScaleCrop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Kevin Santiago Arévalo Trujillo</dc:creator>
  <cp:lastModifiedBy>Kevin Santiago Arévalo Trujillo</cp:lastModifiedBy>
  <cp:revision>2</cp:revision>
  <dcterms:created xsi:type="dcterms:W3CDTF">2026-06-24T21:11:00Z</dcterms:created>
  <dcterms:modified xsi:type="dcterms:W3CDTF">2026-06-24T21:11:00Z</dcterms:modified>
</cp:coreProperties>
</file>