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IPROS-109</w:t>
      </w:r>
    </w:p>
    <w:p>
      <w:r>
        <w:t>MIPCT-457 Occupancy fee change request</w:t>
      </w:r>
    </w:p>
    <w:p>
      <w:pPr>
        <w:pStyle w:val="Heading1"/>
      </w:pPr>
      <w:r>
        <w:t>Summary</w:t>
      </w:r>
    </w:p>
    <w:p>
      <w:pPr>
        <w:pStyle w:val="Heading2"/>
      </w:pPr>
      <w:r>
        <w:t>ARF02</w:t>
      </w:r>
    </w:p>
    <w:p>
      <w:pPr>
        <w:pStyle w:val="ListBullet"/>
      </w:pPr>
      <w:r>
        <w:t>asdfasdfasd</w:t>
        <w:br/>
        <w:t>asd f</w:t>
        <w:br/>
        <w:t xml:space="preserve">asdf </w:t>
        <w:br/>
        <w:t>asdf</w:t>
        <w:br/>
        <w:t xml:space="preserve"> asdf</w:t>
      </w:r>
    </w:p>
    <w:p>
      <w:pPr>
        <w:pStyle w:val="Heading1"/>
      </w:pPr>
      <w:r>
        <w:t>Details</w:t>
      </w:r>
    </w:p>
    <w:p>
      <w:pPr>
        <w:pStyle w:val="Heading2"/>
      </w:pPr>
      <w:r>
        <w:t>ARF05</w:t>
      </w:r>
    </w:p>
    <w:p>
      <w:pPr>
        <w:pStyle w:val="ListBullet"/>
      </w:pPr>
      <w:r>
        <w:t>asdfasdfasdf</w:t>
        <w:br/>
        <w:t>asdfasdf</w:t>
        <w:br/>
        <w:t>asdf</w:t>
        <w:br/>
        <w:t>asdfasdf</w:t>
      </w:r>
    </w:p>
    <w:p>
      <w:r>
        <w:drawing>
          <wp:inline xmlns:a="http://schemas.openxmlformats.org/drawingml/2006/main" xmlns:pic="http://schemas.openxmlformats.org/drawingml/2006/picture">
            <wp:extent cx="535021" cy="5350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21" cy="5350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