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43CA6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论文阅读心得</w:t>
      </w:r>
    </w:p>
    <w:p w14:paraId="3C9FA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这篇论文</w:t>
      </w:r>
      <w:r>
        <w:rPr>
          <w:rFonts w:hint="eastAsia"/>
          <w:sz w:val="28"/>
          <w:szCs w:val="28"/>
          <w:lang w:val="en-US" w:eastAsia="zh-CN"/>
        </w:rPr>
        <w:t>的角度十分独特</w:t>
      </w:r>
      <w:r>
        <w:rPr>
          <w:rFonts w:hint="eastAsia"/>
          <w:sz w:val="28"/>
          <w:szCs w:val="28"/>
        </w:rPr>
        <w:t>，它把公共协商（public deliberation）往前退了一大步。以往的研究多在言论质量，这篇论文追问的却是更上游的问题：如果连可供公共协商的场所都不存在，谈论讨论质量就没有意义。作者的落点很有启发性：先看网站"提供了什么"，再看"被谁使用"。作者选的研究对象</w:t>
      </w:r>
      <w:r>
        <w:rPr>
          <w:rFonts w:hint="eastAsia"/>
          <w:sz w:val="28"/>
          <w:szCs w:val="28"/>
          <w:lang w:val="en-US" w:eastAsia="zh-CN"/>
        </w:rPr>
        <w:t>也十分新颖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不是活跃发言者，而是沉默的阅读者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借Habermas的"两轨模型"与lurker概念，作者指出只看评论区会系统性放大少数"超级用户"，从而造成误判。另外，结论里的第三类——游戏、动漫、二手童装论坛里的政治讨论——本来不是作者预设的类别，而是在研究过程中总结出来的，也令我印象深刻。</w:t>
      </w:r>
    </w:p>
    <w:p w14:paraId="3C786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方法与结论方面，论文用词典匹配URL加人工复核，从5600万次访问中筛出69个政治域名；供给端按编码手册二值编码，需求端用网络入/出度与Shannon-Wiener熵衡量；再用poLCA做潜类别分析，得到主流枢纽、优质信息提供者、小众论坛三类。优点是理论到指标的翻译克制，三重数据互补。但有两处我</w:t>
      </w:r>
      <w:r>
        <w:rPr>
          <w:rFonts w:hint="eastAsia"/>
          <w:sz w:val="28"/>
          <w:szCs w:val="28"/>
          <w:lang w:val="en-US" w:eastAsia="zh-CN"/>
        </w:rPr>
        <w:t>不太理解或</w:t>
      </w:r>
      <w:r>
        <w:rPr>
          <w:rFonts w:hint="eastAsia"/>
          <w:sz w:val="28"/>
          <w:szCs w:val="28"/>
        </w:rPr>
        <w:t>不太认同：一是模型选择，作者称依BIC最小定类数，可表C2里二类解BIC（948）小于三类解（951），作者承认两者"非常接近"，</w:t>
      </w:r>
      <w:r>
        <w:rPr>
          <w:rFonts w:hint="eastAsia"/>
          <w:sz w:val="28"/>
          <w:szCs w:val="28"/>
          <w:lang w:val="en-US" w:eastAsia="zh-CN"/>
        </w:rPr>
        <w:t>但我不太理解为什么</w:t>
      </w:r>
      <w:bookmarkStart w:id="0" w:name="_GoBack"/>
      <w:bookmarkEnd w:id="0"/>
      <w:r>
        <w:rPr>
          <w:rFonts w:hint="eastAsia"/>
          <w:sz w:val="28"/>
          <w:szCs w:val="28"/>
        </w:rPr>
        <w:t>选三类；二是包容性/异质性指标偏重"类别丰富度"，用户越多取值越高，于是"最主流即最包容最多元"很大程度上是测量假象——作者虽然也承认，但削弱了论文的说服力。</w:t>
      </w:r>
    </w:p>
    <w:p w14:paraId="3002C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数据方面也有不足，样本只有德国2017年大选期间约1282人且仅覆盖桌面端，时效与外部效度有限；政治相关访问不足1%，说明"看不见的多数"是真实存在的。</w:t>
      </w:r>
    </w:p>
    <w:p w14:paraId="53596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若要做后续研究，我想在时间上重跑一遍，比较2017年与今天，看公共广播的"骨干"地位是否还在；或者将研究对象推广到短视频、网络直播乃至线下空间等。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8798A"/>
    <w:rsid w:val="3B7FB6B9"/>
    <w:rsid w:val="7DF8798A"/>
    <w:rsid w:val="FFF3B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2026-10-12T22:24:00Z</dcterms:created>
  <dc:creator>王新锐(2026013729)</dc:creator>
  <cp:lastModifiedBy>王新锐(2026013729)</cp:lastModifiedBy>
  <dcterms:modified xsi:type="dcterms:W3CDTF">2026-10-12T16:22:55Z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92929A6A4B96BA65347DCC6A9A4F441D_41</vt:lpwstr>
  </property>
</Properties>
</file>