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rPr/>
      </w:pPr>
      <w:r w:rsidDel="00000000" w:rsidR="00000000" w:rsidRPr="00000000">
        <w:rPr>
          <w:rtl w:val="0"/>
        </w:rPr>
      </w:r>
    </w:p>
    <w:p w:rsidR="00000000" w:rsidDel="00000000" w:rsidP="00000000" w:rsidRDefault="00000000" w:rsidRPr="00000000" ns1:paraId="00000002">
      <w:pPr>
        <w:rPr/>
      </w:pPr>
      <w:r w:rsidDel="00000000" w:rsidR="00000000" w:rsidRPr="00000000">
        <w:rPr>
          <w:rtl w:val="0"/>
        </w:rPr>
      </w:r>
    </w:p>
    <w:tbl>
      <w:tblPr>
        <w:tblStyle w:val="Table1"/>
        <w:tblW w:w="8943.0" w:type="dxa"/>
        <w:jc w:val="left"/>
        <w:tblLayout w:type="fixed"/>
        <w:tblLook w:val="0400"/>
      </w:tblPr>
      <w:tblGrid>
        <w:gridCol w:w="8943"/>
        <w:tblGridChange w:id="0">
          <w:tblGrid>
            <w:gridCol w:w="8943"/>
          </w:tblGrid>
        </w:tblGridChange>
      </w:tblGrid>
      <w:tr>
        <w:trPr>
          <w:cantSplit w:val="0"/>
          <w:trHeight w:val="422" w:hRule="atLeast"/>
          <w:tblHeader w:val="0"/>
        </w:trPr>
        <w:tc>
          <w:tcPr/>
          <w:p w:rsidR="00000000" w:rsidDel="00000000" w:rsidP="00000000" w:rsidRDefault="00000000" w:rsidRPr="00000000" ns1:paraId="00000003">
            <w:pPr>
              <w:spacing w:after="40" w:before="40" w:lineRule="auto"/>
              <w:jc w:val="center"/>
              <w:rPr>
                <w:b w:val="1"/>
                <w:color w:val="000000"/>
              </w:rPr>
            </w:pPr>
            <w:r w:rsidDel="00000000" w:rsidR="00000000" w:rsidRPr="00000000">
              <w:rPr>
                <w:b w:val="1"/>
                <w:color w:val="000000"/>
                <w:rtl w:val="0"/>
              </w:rPr>
              <w:t xml:space="preserve">FORM 2.2</w:t>
            </w:r>
          </w:p>
          <w:p w:rsidR="00000000" w:rsidDel="00000000" w:rsidP="00000000" w:rsidRDefault="00000000" w:rsidRPr="00000000" ns1:paraId="00000004">
            <w:pPr>
              <w:spacing w:after="40" w:before="40" w:lineRule="auto"/>
              <w:jc w:val="center"/>
              <w:rPr>
                <w:b w:val="1"/>
                <w:color w:val="000000"/>
              </w:rPr>
            </w:pPr>
            <w:r w:rsidDel="00000000" w:rsidR="00000000" w:rsidRPr="00000000">
              <w:rPr>
                <w:b w:val="1"/>
                <w:color w:val="000000"/>
                <w:rtl w:val="0"/>
              </w:rPr>
              <w:t xml:space="preserve">PROTOCOL SUMMARY SHEET </w:t>
            </w:r>
          </w:p>
          <w:p w:rsidR="00000000" w:rsidDel="00000000" w:rsidP="00000000" w:rsidRDefault="00000000" w:rsidRPr="00000000" ns1:paraId="00000005">
            <w:pPr>
              <w:spacing w:after="40" w:before="40" w:lineRule="auto"/>
              <w:jc w:val="center"/>
              <w:rPr>
                <w:i w:val="1"/>
                <w:color w:val="ffffff"/>
              </w:rPr>
            </w:pPr>
            <w:r w:rsidDel="00000000" w:rsidR="00000000" w:rsidRPr="00000000">
              <w:rPr>
                <w:i w:val="1"/>
                <w:color w:val="000000"/>
                <w:rtl w:val="0"/>
              </w:rPr>
              <w:t xml:space="preserve">To be filled by investigator</w:t>
            </w:r>
            <w:r w:rsidDel="00000000" w:rsidR="00000000" w:rsidRPr="00000000">
              <w:rPr>
                <w:rtl w:val="0"/>
              </w:rPr>
            </w:r>
          </w:p>
        </w:tc>
      </w:tr>
    </w:tbl>
    <w:p w:rsidR="00000000" w:rsidDel="00000000" w:rsidP="00000000" w:rsidRDefault="00000000" w:rsidRPr="00000000" ns1:paraId="00000006">
      <w:pPr>
        <w:rPr>
          <w:b w:val="1"/>
        </w:rPr>
      </w:pPr>
      <w:r w:rsidDel="00000000" w:rsidR="00000000" w:rsidRPr="00000000">
        <w:rPr>
          <w:rtl w:val="0"/>
        </w:rPr>
      </w:r>
    </w:p>
    <w:tbl>
      <w:tblPr>
        <w:tblStyle w:val="Table2"/>
        <w:tblW w:w="8943.0" w:type="dxa"/>
        <w:jc w:val="left"/>
        <w:tblLayout w:type="fixed"/>
        <w:tblLook w:val="0400"/>
      </w:tblPr>
      <w:tblGrid>
        <w:gridCol w:w="2349"/>
        <w:gridCol w:w="244"/>
        <w:gridCol w:w="6350"/>
        <w:tblGridChange w:id="0">
          <w:tblGrid>
            <w:gridCol w:w="2349"/>
            <w:gridCol w:w="244"/>
            <w:gridCol w:w="6350"/>
          </w:tblGrid>
        </w:tblGridChange>
      </w:tblGrid>
      <w:tr>
        <w:trPr>
          <w:cantSplit w:val="0"/>
          <w:trHeight w:val="225" w:hRule="atLeast"/>
          <w:tblHeader w:val="0"/>
        </w:trPr>
        <w:tc>
          <w:tcPr>
            <w:tcBorders>
              <w:bottom w:color="000000" w:space="0" w:sz="4" w:val="single"/>
            </w:tcBorders>
            <w:shd w:fill="c8c8c8" w:val="clear"/>
            <w:vAlign w:val="center"/>
          </w:tcPr>
          <w:p w:rsidR="00000000" w:rsidDel="00000000" w:rsidP="00000000" w:rsidRDefault="00000000" w:rsidRPr="00000000" ns1:paraId="00000007">
            <w:pPr>
              <w:spacing w:line="220" w:lineRule="auto"/>
              <w:rPr>
                <w:b w:val="1"/>
              </w:rPr>
            </w:pPr>
            <w:r w:rsidDel="00000000" w:rsidR="00000000" w:rsidRPr="00000000">
              <w:rPr>
                <w:rtl w:val="0"/>
              </w:rPr>
              <w:t xml:space="preserve">REC Protocol No:</w:t>
            </w:r>
            <w:r w:rsidDel="00000000" w:rsidR="00000000" w:rsidRPr="00000000">
              <w:rPr>
                <w:rtl w:val="0"/>
              </w:rPr>
            </w:r>
          </w:p>
        </w:tc>
        <w:tc>
          <w:tcPr>
            <w:vAlign w:val="center"/>
          </w:tcPr>
          <w:p w:rsidR="00000000" w:rsidDel="00000000" w:rsidP="00000000" w:rsidRDefault="00000000" w:rsidRPr="00000000" ns1:paraId="00000008">
            <w:pPr>
              <w:spacing w:line="220" w:lineRule="auto"/>
              <w:rPr>
                <w:b w:val="1"/>
              </w:rPr>
            </w:pPr>
            <w:r>
              <w:t xml:space="preserve">To be assigned by REC</w:t>
            </w:r>
          </w:p>
        </w:tc>
        <w:tc>
          <w:tcPr>
            <w:tcBorders>
              <w:bottom w:color="000000" w:space="0" w:sz="4" w:val="single"/>
            </w:tcBorders>
            <w:shd w:fill="c8c8c8" w:val="clear"/>
            <w:vAlign w:val="center"/>
          </w:tcPr>
          <w:p w:rsidR="00000000" w:rsidDel="00000000" w:rsidP="00000000" w:rsidRDefault="00000000" w:rsidRPr="00000000" ns1:paraId="00000009">
            <w:pPr>
              <w:spacing w:line="220" w:lineRule="auto"/>
              <w:rPr>
                <w:b w:val="1"/>
              </w:rPr>
            </w:pPr>
            <w:r w:rsidDel="00000000" w:rsidR="00000000" w:rsidRPr="00000000">
              <w:rPr>
                <w:rtl w:val="0"/>
              </w:rPr>
              <w:t xml:space="preserve">Title</w:t>
            </w:r>
            <w:r w:rsidDel="00000000" w:rsidR="00000000" w:rsidRPr="00000000">
              <w:rPr>
                <w:rtl w:val="0"/>
              </w:rPr>
            </w:r>
          </w:p>
        </w:tc>
      </w:tr>
      <w:tr>
        <w:trPr>
          <w:cantSplit w:val="0"/>
          <w:trHeight w:val="7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0A">
            <w:pPr>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ns1:paraId="0000000B">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0C">
            <w:pPr>
              <w:rPr/>
            </w:pPr>
            <w:r>
              <w:t xml:space="preserve">ECOTwin: A Dual-Greenhouse Vertical Farming System Designed for Experimental Researches</w:t>
            </w:r>
          </w:p>
        </w:tc>
      </w:tr>
      <w:tr>
        <w:trPr>
          <w:cantSplit w:val="0"/>
          <w:trHeight w:val="138" w:hRule="atLeast"/>
          <w:tblHeader w:val="0"/>
        </w:trPr>
        <w:tc>
          <w:tcPr>
            <w:tcBorders>
              <w:top w:color="000000" w:space="0" w:sz="4" w:val="single"/>
            </w:tcBorders>
            <w:vAlign w:val="center"/>
          </w:tcPr>
          <w:p w:rsidR="00000000" w:rsidDel="00000000" w:rsidP="00000000" w:rsidRDefault="00000000" w:rsidRPr="00000000" ns1:paraId="0000000D">
            <w:pPr>
              <w:rPr/>
            </w:pPr>
            <w:r w:rsidDel="00000000" w:rsidR="00000000" w:rsidRPr="00000000">
              <w:rPr>
                <w:rtl w:val="0"/>
              </w:rPr>
            </w:r>
          </w:p>
        </w:tc>
        <w:tc>
          <w:tcPr>
            <w:vAlign w:val="center"/>
          </w:tcPr>
          <w:p w:rsidR="00000000" w:rsidDel="00000000" w:rsidP="00000000" w:rsidRDefault="00000000" w:rsidRPr="00000000" ns1:paraId="0000000E">
            <w:pPr>
              <w:rPr>
                <w:b w:val="1"/>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ns1:paraId="0000000F">
            <w:pPr>
              <w:rPr/>
            </w:pPr>
            <w:r w:rsidDel="00000000" w:rsidR="00000000" w:rsidRPr="00000000">
              <w:rPr>
                <w:rtl w:val="0"/>
              </w:rPr>
            </w:r>
          </w:p>
        </w:tc>
      </w:tr>
      <w:tr>
        <w:trPr>
          <w:cantSplit w:val="0"/>
          <w:trHeight w:val="225" w:hRule="atLeast"/>
          <w:tblHeader w:val="0"/>
        </w:trPr>
        <w:tc>
          <w:tcPr>
            <w:tcBorders>
              <w:bottom w:color="000000" w:space="0" w:sz="4" w:val="single"/>
            </w:tcBorders>
            <w:shd w:fill="c8c8c8" w:val="clear"/>
            <w:vAlign w:val="center"/>
          </w:tcPr>
          <w:p w:rsidR="00000000" w:rsidDel="00000000" w:rsidP="00000000" w:rsidRDefault="00000000" w:rsidRPr="00000000" ns1:paraId="00000010">
            <w:pPr>
              <w:spacing w:line="220" w:lineRule="auto"/>
              <w:rPr/>
            </w:pPr>
            <w:r w:rsidDel="00000000" w:rsidR="00000000" w:rsidRPr="00000000">
              <w:rPr>
                <w:rtl w:val="0"/>
              </w:rPr>
              <w:t xml:space="preserve">Principal Investigator</w:t>
            </w:r>
          </w:p>
        </w:tc>
        <w:tc>
          <w:tcPr>
            <w:vAlign w:val="center"/>
          </w:tcPr>
          <w:p w:rsidR="00000000" w:rsidDel="00000000" w:rsidP="00000000" w:rsidRDefault="00000000" w:rsidRPr="00000000" ns1:paraId="00000011">
            <w:pPr>
              <w:spacing w:line="220" w:lineRule="auto"/>
              <w:rPr>
                <w:b w:val="1"/>
              </w:rPr>
            </w:pPr>
            <w:r w:rsidDel="00000000" w:rsidR="00000000" w:rsidRPr="00000000">
              <w:rPr>
                <w:rtl w:val="0"/>
              </w:rPr>
            </w:r>
          </w:p>
        </w:tc>
        <w:tc>
          <w:tcPr>
            <w:tcBorders>
              <w:bottom w:color="000000" w:space="0" w:sz="4" w:val="single"/>
            </w:tcBorders>
            <w:shd w:fill="c8c8c8" w:val="clear"/>
            <w:vAlign w:val="center"/>
          </w:tcPr>
          <w:p w:rsidR="00000000" w:rsidDel="00000000" w:rsidP="00000000" w:rsidRDefault="00000000" w:rsidRPr="00000000" ns1:paraId="00000012">
            <w:pPr>
              <w:spacing w:line="220" w:lineRule="auto"/>
              <w:rPr/>
            </w:pPr>
            <w:r w:rsidDel="00000000" w:rsidR="00000000" w:rsidRPr="00000000">
              <w:rPr>
                <w:rtl w:val="0"/>
              </w:rPr>
              <w:t xml:space="preserve">Sponsor</w:t>
            </w:r>
          </w:p>
        </w:tc>
      </w:tr>
      <w:tr>
        <w:trPr>
          <w:cantSplit w:val="0"/>
          <w:trHeight w:val="7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13">
            <w:pPr>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ns1:paraId="00000014">
            <w:pPr>
              <w:rPr>
                <w:b w:val="1"/>
              </w:rPr>
            </w:pPr>
            <w:r>
              <w:t xml:space="preserve">Patrick Andre C. Sarania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15">
            <w:pPr>
              <w:rPr/>
            </w:pPr>
            <w:r>
              <w:t xml:space="preserve">None (unfunded academic capstone project)</w:t>
            </w:r>
          </w:p>
        </w:tc>
      </w:tr>
    </w:tbl>
    <w:p w:rsidR="00000000" w:rsidDel="00000000" w:rsidP="00000000" w:rsidRDefault="00000000" w:rsidRPr="00000000" ns1:paraId="00000016">
      <w:pPr>
        <w:rPr>
          <w:b w:val="1"/>
        </w:rPr>
      </w:pPr>
      <w:r w:rsidDel="00000000" w:rsidR="00000000" w:rsidRPr="00000000">
        <w:rPr>
          <w:rtl w:val="0"/>
        </w:rPr>
      </w:r>
    </w:p>
    <w:tbl>
      <w:tblPr>
        <w:tblStyle w:val="Table3"/>
        <w:tblW w:w="8927.0" w:type="dxa"/>
        <w:jc w:val="left"/>
        <w:tblLayout w:type="fixed"/>
        <w:tblLook w:val="0400"/>
      </w:tblPr>
      <w:tblGrid>
        <w:gridCol w:w="2370"/>
        <w:gridCol w:w="6557"/>
        <w:tblGridChange w:id="0">
          <w:tblGrid>
            <w:gridCol w:w="2370"/>
            <w:gridCol w:w="6557"/>
          </w:tblGrid>
        </w:tblGridChange>
      </w:tblGrid>
      <w:tr>
        <w:trPr>
          <w:cantSplit w:val="0"/>
          <w:trHeight w:val="726" w:hRule="atLeast"/>
          <w:tblHeader w:val="0"/>
        </w:trPr>
        <w:tc>
          <w:tcPr>
            <w:tcBorders>
              <w:right w:color="000000" w:space="0" w:sz="4" w:val="single"/>
            </w:tcBorders>
            <w:shd w:fill="c8c8c8" w:val="clear"/>
            <w:vAlign w:val="center"/>
          </w:tcPr>
          <w:p w:rsidR="00000000" w:rsidDel="00000000" w:rsidP="00000000" w:rsidRDefault="00000000" w:rsidRPr="00000000" ns1:paraId="00000017">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18">
            <w:pPr>
              <w:rPr/>
            </w:pPr>
            <w:r w:rsidDel="00000000" w:rsidR="00000000" w:rsidRPr="00000000">
              <w:rPr>
                <w:rtl w:val="0"/>
              </w:rPr>
            </w:r>
          </w:p>
        </w:tc>
      </w:tr>
      <w:tr>
        <w:trPr>
          <w:cantSplit w:val="0"/>
          <w:trHeight w:val="121" w:hRule="atLeast"/>
          <w:tblHeader w:val="0"/>
        </w:trPr>
        <w:tc>
          <w:tcPr>
            <w:vAlign w:val="center"/>
          </w:tcPr>
          <w:p w:rsidR="00000000" w:rsidDel="00000000" w:rsidP="00000000" w:rsidRDefault="00000000" w:rsidRPr="00000000" ns1:paraId="00000019">
            <w:pP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ns1:paraId="0000001A">
            <w:pPr>
              <w:rPr/>
            </w:pPr>
            <w:r>
              <w:t xml:space="preserve">Rural school and community greenhouse projects commonly rely on visual observation without continuous sensing of temperature, humidity, light, nutrient solution, or water conditions. This limits reliable comparisons of romaine lettuce growth. ECOTwin provides an affordable, LAN-based dual-greenhouse platform for repeatable, side-by-side controlled-environment experiments at SPAMAST-IASDC.</w:t>
            </w:r>
          </w:p>
        </w:tc>
      </w:tr>
      <w:tr>
        <w:trPr>
          <w:cantSplit w:val="0"/>
          <w:trHeight w:val="726" w:hRule="atLeast"/>
          <w:tblHeader w:val="0"/>
        </w:trPr>
        <w:tc>
          <w:tcPr>
            <w:tcBorders>
              <w:right w:color="000000" w:space="0" w:sz="4" w:val="single"/>
            </w:tcBorders>
            <w:shd w:fill="c8c8c8" w:val="clear"/>
            <w:vAlign w:val="center"/>
          </w:tcPr>
          <w:p w:rsidR="00000000" w:rsidDel="00000000" w:rsidP="00000000" w:rsidRDefault="00000000" w:rsidRPr="00000000" ns1:paraId="0000001B">
            <w:pPr>
              <w:rPr/>
            </w:pPr>
            <w:r w:rsidDel="00000000" w:rsidR="00000000" w:rsidRPr="00000000">
              <w:rPr>
                <w:rtl w:val="0"/>
              </w:rPr>
              <w:t xml:space="preserve">Objectives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1C">
            <w:pPr>
              <w:rPr/>
            </w:pPr>
            <w:r w:rsidDel="00000000" w:rsidR="00000000" w:rsidRPr="00000000">
              <w:rPr>
                <w:rtl w:val="0"/>
              </w:rPr>
            </w:r>
          </w:p>
        </w:tc>
      </w:tr>
      <w:tr>
        <w:trPr>
          <w:cantSplit w:val="0"/>
          <w:trHeight w:val="121" w:hRule="atLeast"/>
          <w:tblHeader w:val="0"/>
        </w:trPr>
        <w:tc>
          <w:tcPr>
            <w:vAlign w:val="center"/>
          </w:tcPr>
          <w:p w:rsidR="00000000" w:rsidDel="00000000" w:rsidP="00000000" w:rsidRDefault="00000000" w:rsidRPr="00000000" ns1:paraId="0000001D">
            <w:pP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ns1:paraId="0000001E">
            <w:pPr>
              <w:rPr/>
            </w:pPr>
            <w:r>
              <w:t xml:space="preserve">To design, develop, and evaluate a dual-greenhouse vertical farming system for romaine lettuce that monitors, controls, and compares environmental conditions. Specifically, it will integrate sensors and automated actuators; provide a LAN-based dashboard, data logging, alerts, and reports; support comparative experiments; and assess system functionality, reliability, usability, connectivity, and user-interface quality.</w:t>
            </w:r>
          </w:p>
        </w:tc>
      </w:tr>
      <w:tr>
        <w:trPr>
          <w:cantSplit w:val="0"/>
          <w:trHeight w:val="726" w:hRule="atLeast"/>
          <w:tblHeader w:val="0"/>
        </w:trPr>
        <w:tc>
          <w:tcPr>
            <w:tcBorders>
              <w:right w:color="000000" w:space="0" w:sz="4" w:val="single"/>
            </w:tcBorders>
            <w:shd w:fill="c8c8c8" w:val="clear"/>
            <w:vAlign w:val="center"/>
          </w:tcPr>
          <w:p w:rsidR="00000000" w:rsidDel="00000000" w:rsidP="00000000" w:rsidRDefault="00000000" w:rsidRPr="00000000" ns1:paraId="0000001F">
            <w:pPr>
              <w:rPr/>
            </w:pPr>
            <w:r w:rsidDel="00000000" w:rsidR="00000000" w:rsidRPr="00000000">
              <w:rPr>
                <w:rtl w:val="0"/>
              </w:rPr>
              <w:t xml:space="preserve">Study Design/ Methodology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20">
            <w:pPr>
              <w:rPr/>
            </w:pPr>
            <w:r w:rsidDel="00000000" w:rsidR="00000000" w:rsidRPr="00000000">
              <w:rPr>
                <w:rtl w:val="0"/>
              </w:rPr>
            </w:r>
          </w:p>
        </w:tc>
      </w:tr>
      <w:tr>
        <w:trPr>
          <w:cantSplit w:val="0"/>
          <w:trHeight w:val="138" w:hRule="atLeast"/>
          <w:tblHeader w:val="0"/>
        </w:trPr>
        <w:tc>
          <w:tcPr>
            <w:vAlign w:val="center"/>
          </w:tcPr>
          <w:p w:rsidR="00000000" w:rsidDel="00000000" w:rsidP="00000000" w:rsidRDefault="00000000" w:rsidRPr="00000000" ns1:paraId="00000021">
            <w:pP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ns1:paraId="00000022">
            <w:pPr>
              <w:rPr/>
            </w:pPr>
            <w:r>
              <w:t xml:space="preserve">This is a developmental, quantitative system-evaluation study conducted at SPAMAST Buhangin Campus, IASDC, Malita, Davao Occidental. Two compact hydroponic greenhouses with vertical racks will be fitted with Arduino/ESP32 controllers, sensors, actuators, and a LAN-based web dashboard. The system will undergo unit, integration, and scenario-based tests, followed by user evaluation using an ISO/IEC 25010-based five-point Likert-scale instrument.</w:t>
            </w:r>
          </w:p>
        </w:tc>
      </w:tr>
      <w:tr>
        <w:trPr>
          <w:cantSplit w:val="0"/>
          <w:trHeight w:val="726" w:hRule="atLeast"/>
          <w:tblHeader w:val="0"/>
        </w:trPr>
        <w:tc>
          <w:tcPr>
            <w:tcBorders>
              <w:right w:color="000000" w:space="0" w:sz="4" w:val="single"/>
            </w:tcBorders>
            <w:shd w:fill="c8c8c8" w:val="clear"/>
            <w:vAlign w:val="center"/>
          </w:tcPr>
          <w:p w:rsidR="00000000" w:rsidDel="00000000" w:rsidP="00000000" w:rsidRDefault="00000000" w:rsidRPr="00000000" ns1:paraId="00000023">
            <w:pPr>
              <w:rPr/>
            </w:pPr>
            <w:r w:rsidDel="00000000" w:rsidR="00000000" w:rsidRPr="00000000">
              <w:rPr>
                <w:rtl w:val="0"/>
              </w:rPr>
              <w:t xml:space="preserve">Inclusion Criteria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24">
            <w:pPr>
              <w:rPr/>
            </w:pPr>
            <w:r w:rsidDel="00000000" w:rsidR="00000000" w:rsidRPr="00000000">
              <w:rPr>
                <w:rtl w:val="0"/>
              </w:rPr>
            </w:r>
          </w:p>
        </w:tc>
      </w:tr>
      <w:tr>
        <w:trPr>
          <w:cantSplit w:val="0"/>
          <w:trHeight w:val="121" w:hRule="atLeast"/>
          <w:tblHeader w:val="0"/>
        </w:trPr>
        <w:tc>
          <w:tcPr>
            <w:vAlign w:val="center"/>
          </w:tcPr>
          <w:p w:rsidR="00000000" w:rsidDel="00000000" w:rsidP="00000000" w:rsidRDefault="00000000" w:rsidRPr="00000000" ns1:paraId="00000025">
            <w:pP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ns1:paraId="00000026">
            <w:pPr>
              <w:rPr/>
            </w:pPr>
            <w:r>
              <w:t xml:space="preserve">Currently enrolled first-, second-, or third-year BSIT students selected for the system-validation survey; willing and able to use or evaluate the ECOTwin system after orientation; and voluntarily provides informed consent. Technical testing will also involve available IT faculty members and panel members with relevant technical or academic expertise.</w:t>
            </w:r>
          </w:p>
        </w:tc>
      </w:tr>
      <w:tr>
        <w:trPr>
          <w:cantSplit w:val="0"/>
          <w:trHeight w:val="726" w:hRule="atLeast"/>
          <w:tblHeader w:val="0"/>
        </w:trPr>
        <w:tc>
          <w:tcPr>
            <w:tcBorders>
              <w:right w:color="000000" w:space="0" w:sz="4" w:val="single"/>
            </w:tcBorders>
            <w:shd w:fill="c8c8c8" w:val="clear"/>
            <w:vAlign w:val="center"/>
          </w:tcPr>
          <w:p w:rsidR="00000000" w:rsidDel="00000000" w:rsidP="00000000" w:rsidRDefault="00000000" w:rsidRPr="00000000" ns1:paraId="00000027">
            <w:pPr>
              <w:rPr/>
            </w:pPr>
            <w:r w:rsidDel="00000000" w:rsidR="00000000" w:rsidRPr="00000000">
              <w:rPr>
                <w:rtl w:val="0"/>
              </w:rPr>
              <w:t xml:space="preserve">Exclusion Criteria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28">
            <w:pPr>
              <w:rPr/>
            </w:pPr>
            <w:r w:rsidDel="00000000" w:rsidR="00000000" w:rsidRPr="00000000">
              <w:rPr>
                <w:rtl w:val="0"/>
              </w:rPr>
            </w:r>
          </w:p>
        </w:tc>
      </w:tr>
      <w:tr>
        <w:trPr>
          <w:cantSplit w:val="0"/>
          <w:trHeight w:val="121" w:hRule="atLeast"/>
          <w:tblHeader w:val="0"/>
        </w:trPr>
        <w:tc>
          <w:tcPr>
            <w:vAlign w:val="center"/>
          </w:tcPr>
          <w:p w:rsidR="00000000" w:rsidDel="00000000" w:rsidP="00000000" w:rsidRDefault="00000000" w:rsidRPr="00000000" ns1:paraId="00000029">
            <w:pP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ns1:paraId="0000002A">
            <w:pPr>
              <w:rPr/>
            </w:pPr>
            <w:r>
              <w:t xml:space="preserve">Individuals who are not part of the identified participant groups; those who decline or withdraw consent; and questionnaires with substantial missing or unusable responses.</w:t>
            </w:r>
          </w:p>
        </w:tc>
      </w:tr>
      <w:tr>
        <w:trPr>
          <w:cantSplit w:val="0"/>
          <w:trHeight w:val="726" w:hRule="atLeast"/>
          <w:tblHeader w:val="0"/>
        </w:trPr>
        <w:tc>
          <w:tcPr>
            <w:tcBorders>
              <w:right w:color="000000" w:space="0" w:sz="4" w:val="single"/>
            </w:tcBorders>
            <w:shd w:fill="c8c8c8" w:val="clear"/>
            <w:vAlign w:val="center"/>
          </w:tcPr>
          <w:p w:rsidR="00000000" w:rsidDel="00000000" w:rsidP="00000000" w:rsidRDefault="00000000" w:rsidRPr="00000000" ns1:paraId="0000002B">
            <w:pPr>
              <w:rPr/>
            </w:pPr>
            <w:r w:rsidDel="00000000" w:rsidR="00000000" w:rsidRPr="00000000">
              <w:rPr>
                <w:rtl w:val="0"/>
              </w:rPr>
              <w:t xml:space="preserve">Data Analysis Plan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2C">
            <w:pPr>
              <w:rPr/>
            </w:pPr>
            <w:r w:rsidDel="00000000" w:rsidR="00000000" w:rsidRPr="00000000">
              <w:rPr>
                <w:rtl w:val="0"/>
              </w:rPr>
            </w:r>
          </w:p>
        </w:tc>
      </w:tr>
      <w:tr>
        <w:trPr>
          <w:cantSplit w:val="0"/>
          <w:trHeight w:val="138" w:hRule="atLeast"/>
          <w:tblHeader w:val="0"/>
        </w:trPr>
        <w:tc>
          <w:tcPr>
            <w:vAlign w:val="center"/>
          </w:tcPr>
          <w:p w:rsidR="00000000" w:rsidDel="00000000" w:rsidP="00000000" w:rsidRDefault="00000000" w:rsidRPr="00000000" ns1:paraId="0000002D">
            <w:pP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ns1:paraId="0000002E">
            <w:pPr>
              <w:rPr/>
            </w:pPr>
            <w:r>
              <w:t xml:space="preserve">Survey responses will be analyzed using descriptive statistics. Weighted means will summarize each ISO/IEC 25010-based criterion?functionality, reliability, usability, connectivity, and user interface quality?while frequency distributions will show response patterns for the five-point Likert scale. Results will be interpreted using the study?s verbal-rating ranges.</w:t>
            </w:r>
          </w:p>
        </w:tc>
      </w:tr>
      <w:tr>
        <w:trPr>
          <w:cantSplit w:val="0"/>
          <w:trHeight w:val="726" w:hRule="atLeast"/>
          <w:tblHeader w:val="0"/>
        </w:trPr>
        <w:tc>
          <w:tcPr>
            <w:tcBorders>
              <w:right w:color="000000" w:space="0" w:sz="4" w:val="single"/>
            </w:tcBorders>
            <w:shd w:fill="c8c8c8" w:val="clear"/>
            <w:vAlign w:val="center"/>
          </w:tcPr>
          <w:p w:rsidR="00000000" w:rsidDel="00000000" w:rsidP="00000000" w:rsidRDefault="00000000" w:rsidRPr="00000000" ns1:paraId="0000002F">
            <w:pPr>
              <w:rPr/>
            </w:pPr>
            <w:r w:rsidDel="00000000" w:rsidR="00000000" w:rsidRPr="00000000">
              <w:rPr>
                <w:rtl w:val="0"/>
              </w:rPr>
              <w:t xml:space="preserve">Study Outcomes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30">
            <w:pPr>
              <w:rPr/>
            </w:pPr>
            <w:r>
              <w:t xml:space="preserve">The study will produce a tested dual-greenhouse monitoring and control system, real-time and historical environmental records, comparative romaine-lettuce growth data, and system-acceptability results. The primary evaluation outcomes are weighted-mean ratings for functionality, reliability, usability, connectivity, and user-interface quality, together with unit and integration test results.</w:t>
            </w:r>
          </w:p>
        </w:tc>
      </w:tr>
    </w:tbl>
    <w:p w:rsidR="00000000" w:rsidDel="00000000" w:rsidP="00000000" w:rsidRDefault="00000000" w:rsidRPr="00000000" ns1:paraId="00000031">
      <w:pPr>
        <w:tabs>
          <w:tab w:val="left" w:leader="none" w:pos="450"/>
        </w:tabs>
        <w:rPr>
          <w:b w:val="1"/>
        </w:rPr>
      </w:pPr>
      <w:r w:rsidDel="00000000" w:rsidR="00000000" w:rsidRPr="00000000">
        <w:rPr>
          <w:rtl w:val="0"/>
        </w:rPr>
      </w:r>
    </w:p>
    <w:p w:rsidR="00000000" w:rsidDel="00000000" w:rsidP="00000000" w:rsidRDefault="00000000" w:rsidRPr="00000000" ns1:paraId="00000032">
      <w:pPr>
        <w:rPr/>
      </w:pPr>
      <w:r w:rsidDel="00000000" w:rsidR="00000000" w:rsidRPr="00000000">
        <w:rPr>
          <w:b w:val="1"/>
          <w:rtl w:val="0"/>
        </w:rPr>
        <w:t xml:space="preserve">Ethical Considerations</w:t>
      </w:r>
      <w:r w:rsidDel="00000000" w:rsidR="00000000" w:rsidRPr="00000000">
        <w:rPr>
          <w:rtl w:val="0"/>
        </w:rPr>
      </w:r>
    </w:p>
    <w:p w:rsidR="00000000" w:rsidDel="00000000" w:rsidP="00000000" w:rsidRDefault="00000000" w:rsidRPr="00000000" ns1:paraId="00000033">
      <w:pPr>
        <w:rPr/>
      </w:pPr>
      <w:r>
        <w:t xml:space="preserve">Participation in the system evaluation will be voluntary and based on informed consent. Participants may decline any item or withdraw without penalty. The survey will collect only information necessary for the study; responses will be coded, kept confidential, stored securely, and reported only in aggregate. No sensitive personal information will be disclosed. The project involves minimal risk; orientation and safe operating procedures will be provided for any interaction with the greenhouse hardware, including electrical, water, and moving-actuator safety precautions.</w:t>
      </w:r>
    </w:p>
    <w:p w:rsidR="00000000" w:rsidDel="00000000" w:rsidP="00000000" w:rsidRDefault="00000000" w:rsidRPr="00000000" ns1:paraId="00000034">
      <w:pPr>
        <w:rPr/>
      </w:pPr>
      <w:r w:rsidDel="00000000" w:rsidR="00000000" w:rsidRPr="00000000">
        <w:rPr>
          <w:rtl w:val="0"/>
        </w:rPr>
      </w:r>
    </w:p>
    <w:sectPr>
      <w:headerReference ns2:id="rId7" w:type="default"/>
      <w:footerReference ns2: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67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14300" distT="114300" distL="114300" distR="114300">
          <wp:extent cx="5731200" cy="508000"/>
          <wp:effectExtent b="0" l="0" r="0" t="0"/>
          <wp:docPr id="154226216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731200" cy="5080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1200" cy="1028700"/>
          <wp:effectExtent b="0" l="0" r="0" t="0"/>
          <wp:docPr id="154226216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200" cy="10287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ind w:left="1368" w:hanging="288"/>
    </w:pPr>
    <w:rPr>
      <w:rFonts w:ascii="Cambria" w:cs="Cambria" w:eastAsia="Cambria" w:hAnsi="Cambria"/>
      <w:b w:val="1"/>
      <w:color w:val="000000"/>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4C16F9"/>
    <w:pPr>
      <w:tabs>
        <w:tab w:val="center" w:pos="4680"/>
        <w:tab w:val="right" w:pos="9360"/>
      </w:tabs>
      <w:spacing w:line="240" w:lineRule="auto"/>
    </w:pPr>
  </w:style>
  <w:style w:type="character" w:styleId="HeaderChar" w:customStyle="1">
    <w:name w:val="Header Char"/>
    <w:basedOn w:val="DefaultParagraphFont"/>
    <w:link w:val="Header"/>
    <w:uiPriority w:val="99"/>
    <w:rsid w:val="004C16F9"/>
  </w:style>
  <w:style w:type="paragraph" w:styleId="Footer">
    <w:name w:val="footer"/>
    <w:basedOn w:val="Normal"/>
    <w:link w:val="FooterChar"/>
    <w:uiPriority w:val="99"/>
    <w:unhideWhenUsed w:val="1"/>
    <w:rsid w:val="004C16F9"/>
    <w:pPr>
      <w:tabs>
        <w:tab w:val="center" w:pos="4680"/>
        <w:tab w:val="right" w:pos="9360"/>
      </w:tabs>
      <w:spacing w:line="240" w:lineRule="auto"/>
    </w:pPr>
  </w:style>
  <w:style w:type="character" w:styleId="FooterChar" w:customStyle="1">
    <w:name w:val="Footer Char"/>
    <w:basedOn w:val="DefaultParagraphFont"/>
    <w:link w:val="Footer"/>
    <w:uiPriority w:val="99"/>
    <w:rsid w:val="004C16F9"/>
  </w:style>
  <w:style w:type="paragraph" w:styleId="ListParagraph">
    <w:name w:val="List Paragraph"/>
    <w:basedOn w:val="Normal"/>
    <w:qFormat w:val="1"/>
    <w:rsid w:val="008910B4"/>
    <w:pPr>
      <w:spacing w:line="240" w:lineRule="auto"/>
      <w:ind w:left="720"/>
    </w:pPr>
    <w:rPr>
      <w:rFonts w:ascii="Times New Roman" w:cs="Times New Roman" w:eastAsia="Times New Roman" w:hAnsi="Times New Roman"/>
      <w:color w:val="auto"/>
      <w:sz w:val="24"/>
      <w:szCs w:val="24"/>
    </w:rPr>
  </w:style>
  <w:style w:type="character" w:styleId="Heading1Char" w:customStyle="1">
    <w:name w:val="Heading 1 Char"/>
    <w:basedOn w:val="DefaultParagraphFont"/>
    <w:link w:val="Heading1"/>
    <w:uiPriority w:val="99"/>
    <w:rsid w:val="00F5696D"/>
    <w:rPr>
      <w:rFonts w:ascii="Cambria" w:cs="Times New Roman" w:eastAsia="Calibri" w:hAnsi="Cambria"/>
      <w:b w:val="1"/>
      <w:bCs w:val="1"/>
      <w:kern w:val="32"/>
      <w:sz w:val="32"/>
      <w:szCs w:val="32"/>
    </w:rPr>
  </w:style>
  <w:style w:type="table" w:styleId="TableGrid">
    <w:name w:val="Table Grid"/>
    <w:basedOn w:val="TableNormal"/>
    <w:rsid w:val="00F5696D"/>
    <w:pPr>
      <w:spacing w:after="0" w:line="240" w:lineRule="auto"/>
    </w:pPr>
    <w:rPr>
      <w:rFonts w:eastAsiaTheme="minorEastAsia"/>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x4tMlPVKNUI9Ng0nUI/JpYnpvA==">CgMxLjA4AHIhMWVwaURIMl9lRFEzVzhVQTJGY2NTa1kxUHZwc1NSbm44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2025-08-28T06:32:00Z</dcterms:created>
  <dc:creator>Nuevo</dc:creator>
</cp:coreProperties>
</file>