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TaintDroid: an extension to the Android mobile-platform that tracks the flow of privacy sensitive data through third-party applications.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\tip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taint flow _ data dependency(explicitly)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   _ control flow dependency(implicitly)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taint tracking tradeoff: accuracy &amp;&amp; efficiency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e.g. mark some long arrays containing some taint information, when A read from it, even though A may not read the parts that are tainted, A will be tainted, there might be false positives. Not accurate but more efficient.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four levels of tracking: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variable-level tracking(Interpreter)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message-level(IPC)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method-level(if the params are tainted, the return values are tainted)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file-level(secondary storage) -&gt; file system extended attributes.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848957" cy="21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957" cy="21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 traindroid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912025" cy="28137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2025" cy="2813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taint  tags are stored in  memory and shadow memory.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32-bit bitvector for each variable to encode the taint tag.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variables that needed to be tracked: method local variables, method arguments, class static fields, class instance fields, arrays.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propagation of taints is defined by a logic(propagation rules)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native code follows the same propagation rules plus two necessary postconditions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sources of the privacy information: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low-bandwidth sensors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high-bandwidth sensors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databases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identifiers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taint sink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