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definition of monitor: a set of resource and the procedures to allocate the resources.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mechanism: at one time only one procedure can get access to the monitor.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wait: cause the calling program to be delayed; (and after that, the resource must be released)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singal: cause one of the waiting programs to be resumed; (after that, the resource must be assigned to a waiting program)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condition variable - control the wait and the signal - **reasons for  waiting**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309813" cy="20893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089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condition variable and its wait and signal can be implemented by the semaphore. To increase the efficiency, try to use *hardware*.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bounded buffer example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817742" cy="34283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742" cy="3428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the waiting schedule strategy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usual: FIFO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special: weighted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the samples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buffer allocation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 head scheduler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reader &amp;&amp; writer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 problems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interaction among different monitors to get more information to make optimization decisions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regions on the procedures.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