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Pilot is designed for the personal computing environment, single language and single user.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need for security protection, no need for sharing resources, no need for right check.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single address: like embedded.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\tip: problems of hints: security damage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## pilot interfaces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software system: program modules &amp;&amp; definition modules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definition modules: interfaces(public, private)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*File and Volumn*: get access to a file -&gt; map it to a section of virtual memory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file attributes: size, type, permanence, immutability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\tip: permanence: like temporary file, lose it when you reboot the system.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permanence to solve “lost object problem”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immutability means read-only.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virtual memory: each page with three flags.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space interface: allocation entity, mapping entity, swapping entity.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pilot stream facility: transducer and the filter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communication methods: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shared-memory for tightly coupled processes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communications facility for loosely coupled processes(on different machines) using packet communication protocols.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packets are transferred in the Internet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network address &lt;-&gt; socket &lt;-&gt; machine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network address: 16-bit network number, 32-bit processor ID, 16-bit socket number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package level: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level 0: requirements for the communication medium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level 1: the format of the internetwork packet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level 2: special kinds of packages, such as error packet, connection-oriented sequenced packet etc.(its like the stream)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\tip: above: like TCP.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 implementation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050298" cy="3900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298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storage system: a small body of code permanently in primary memory; storage facility to significantly ease the implementation of the remainder;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