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3"/>
        <w:spacing w:line="240"/>
      </w:pPr>
      <w:r>
        <w:rPr>
          <w:rFonts w:ascii="仿宋" w:eastAsia="仿宋" w:cs="仿宋"/>
          <w:rtl w:val="0"/>
          <w:sz w:val="24"/>
          <w:szCs w:val="24"/>
        </w:rPr>
        <w:t>一、背景</w:t>
      </w:r>
    </w:p>
    <w:p>
      <w:pPr>
        <w:pStyle w:val="shimo normal"/>
        <w:spacing w:line="240"/>
      </w:pPr>
      <w:r>
        <w:rPr>
          <w:color w:val="2f3238"/>
          <w:rFonts w:ascii="仿宋" w:eastAsia="仿宋" w:cs="仿宋"/>
          <w:rtl w:val="0"/>
          <w:sz w:val="24"/>
          <w:szCs w:val="24"/>
        </w:rPr>
        <w:t>     基于集团FY26核心指标的具体要求，我们对物流成本控制、变废为宝（增利）、库存周转率提升以及物流服务体验评分等关键领域进行了深入的部门交流和讨论。本次头脑风暴的目标是通过跨部门协作，发掘并制定可量化、可操作的创新方案，直接支持上述目标的达成。</w:t>
      </w:r>
    </w:p>
    <w:p>
      <w:pPr>
        <w:pStyle w:val="shimo heading 3"/>
        <w:spacing w:line="240"/>
      </w:pPr>
      <w:r>
        <w:rPr>
          <w:color w:val="2f3238"/>
          <w:rFonts w:ascii="仿宋" w:eastAsia="仿宋" w:cs="仿宋"/>
          <w:rtl w:val="0"/>
          <w:sz w:val="24"/>
          <w:szCs w:val="24"/>
        </w:rPr>
        <w:t>二、方向与目标</w:t>
      </w:r>
    </w:p>
    <w:p>
      <w:pPr>
        <w:pStyle w:val="shimo normal"/>
        <w:spacing w:line="240"/>
      </w:pPr>
      <w:r>
        <w:rPr>
          <w:rFonts w:ascii="仿宋" w:eastAsia="仿宋" w:cs="仿宋"/>
          <w:rtl w:val="0"/>
          <w:sz w:val="24"/>
          <w:szCs w:val="24"/>
        </w:rPr>
        <w:t>本次头脑风暴聚焦以下四个核心方向：</w:t>
      </w:r>
    </w:p>
    <w:p>
      <w:pPr>
        <w:pStyle w:val="shimo normal"/>
        <w:spacing w:line="240"/>
      </w:pPr>
      <w:r>
        <w:rPr>
          <w:b w:val="1"/>
          <w:rFonts w:ascii="仿宋" w:eastAsia="仿宋" w:cs="仿宋"/>
          <w:rtl w:val="0"/>
          <w:sz w:val="24"/>
          <w:szCs w:val="24"/>
        </w:rPr>
        <w:t>1.件均成本优化：</w:t>
      </w:r>
      <w:r>
        <w:rPr>
          <w:rFonts w:ascii="仿宋" w:eastAsia="仿宋" w:cs="仿宋"/>
          <w:rtl w:val="0"/>
          <w:sz w:val="24"/>
          <w:szCs w:val="24"/>
        </w:rPr>
        <w:t>如何降低单件商品的综合成本（采购、仓储、物流等）？是否存在规模效应或供应链优化空间？</w:t>
      </w:r>
    </w:p>
    <w:p>
      <w:pPr>
        <w:pStyle w:val="shimo normal"/>
        <w:spacing w:line="240"/>
      </w:pPr>
      <w:r>
        <w:rPr>
          <w:b w:val="1"/>
          <w:rFonts w:ascii="仿宋" w:eastAsia="仿宋" w:cs="仿宋"/>
          <w:rtl w:val="0"/>
          <w:sz w:val="24"/>
          <w:szCs w:val="24"/>
        </w:rPr>
        <w:t>2.变废为宝（闲置/滞销资源再利用）：</w:t>
      </w:r>
      <w:r>
        <w:rPr>
          <w:rFonts w:ascii="仿宋" w:eastAsia="仿宋" w:cs="仿宋"/>
          <w:rtl w:val="0"/>
          <w:sz w:val="24"/>
          <w:szCs w:val="24"/>
        </w:rPr>
        <w:t>如何盘活滞销库存、废旧物料或闲置设备？能否通过二次加工、促销组合、捐赠或回收等方式创造额外价值？</w:t>
      </w:r>
    </w:p>
    <w:p>
      <w:pPr>
        <w:pStyle w:val="shimo normal"/>
        <w:spacing w:line="240"/>
      </w:pPr>
      <w:r>
        <w:rPr>
          <w:b w:val="1"/>
          <w:rFonts w:ascii="仿宋" w:eastAsia="仿宋" w:cs="仿宋"/>
          <w:rtl w:val="0"/>
          <w:sz w:val="24"/>
          <w:szCs w:val="24"/>
        </w:rPr>
        <w:t>3.库存周转提升：</w:t>
      </w:r>
      <w:r>
        <w:rPr>
          <w:rFonts w:ascii="仿宋" w:eastAsia="仿宋" w:cs="仿宋"/>
          <w:rtl w:val="0"/>
          <w:sz w:val="24"/>
          <w:szCs w:val="24"/>
        </w:rPr>
        <w:t>如何加快库存流转，减少资金占用？能否优化采购策略、促销机制或库存调配方式？</w:t>
      </w:r>
    </w:p>
    <w:p>
      <w:pPr>
        <w:pStyle w:val="shimo normal"/>
        <w:spacing w:line="240"/>
      </w:pPr>
      <w:r>
        <w:rPr>
          <w:b w:val="1"/>
          <w:rFonts w:ascii="仿宋" w:eastAsia="仿宋" w:cs="仿宋"/>
          <w:rtl w:val="0"/>
          <w:sz w:val="24"/>
          <w:szCs w:val="24"/>
        </w:rPr>
        <w:t>4.店铺物流优化：</w:t>
      </w:r>
      <w:r>
        <w:rPr>
          <w:rFonts w:ascii="仿宋" w:eastAsia="仿宋" w:cs="仿宋"/>
          <w:rtl w:val="0"/>
          <w:sz w:val="24"/>
          <w:szCs w:val="24"/>
        </w:rPr>
        <w:t>如何提高门店配送效率，降低物流成本？是否存在更优的仓储布局、配送路线或智能调度方案？</w:t>
      </w:r>
    </w:p>
    <w:p>
      <w:pPr>
        <w:pStyle w:val="shimo normal"/>
        <w:spacing w:line="240"/>
      </w:pPr>
      <w:r>
        <w:rPr>
          <w:color w:val="2f3238"/>
          <w:rFonts w:ascii="仿宋" w:eastAsia="仿宋" w:cs="仿宋"/>
          <w:rtl w:val="0"/>
          <w:sz w:val="24"/>
          <w:szCs w:val="24"/>
        </w:rPr>
        <w:t>通过跨部门协作，挖掘创新方案，形成可落地的优化策略，最终达成目标：</w:t>
      </w:r>
    </w:p>
    <w:p>
      <w:pPr>
        <w:pStyle w:val="shimo normal"/>
        <w:spacing w:line="240"/>
      </w:pPr>
      <w:r>
        <w:rPr>
          <w:color w:val="2f3238"/>
          <w:rFonts w:ascii="仿宋" w:eastAsia="仿宋" w:cs="仿宋"/>
          <w:rtl w:val="0"/>
          <w:sz w:val="24"/>
          <w:szCs w:val="24"/>
        </w:rPr>
        <w:t>✅ </w:t>
      </w:r>
      <w:r>
        <w:rPr>
          <w:b w:val="1"/>
          <w:color w:val="2f3238"/>
          <w:rFonts w:ascii="仿宋" w:eastAsia="仿宋" w:cs="仿宋"/>
          <w:rtl w:val="0"/>
          <w:sz w:val="24"/>
          <w:szCs w:val="24"/>
        </w:rPr>
        <w:t>降低成本</w:t>
      </w:r>
      <w:r>
        <w:rPr>
          <w:color w:val="2f3238"/>
          <w:rFonts w:ascii="仿宋" w:eastAsia="仿宋" w:cs="仿宋"/>
          <w:rtl w:val="0"/>
          <w:sz w:val="24"/>
          <w:szCs w:val="24"/>
        </w:rPr>
        <w:t>（件均成本↓、物流费用↓）</w:t>
      </w:r>
    </w:p>
    <w:p>
      <w:pPr>
        <w:pStyle w:val="shimo normal"/>
        <w:spacing w:line="240"/>
      </w:pPr>
      <w:r>
        <w:rPr>
          <w:color w:val="2f3238"/>
          <w:rFonts w:ascii="仿宋" w:eastAsia="仿宋" w:cs="仿宋"/>
          <w:rtl w:val="0"/>
          <w:sz w:val="24"/>
          <w:szCs w:val="24"/>
        </w:rPr>
        <w:t>✅ </w:t>
      </w:r>
      <w:r>
        <w:rPr>
          <w:b w:val="1"/>
          <w:color w:val="2f3238"/>
          <w:rFonts w:ascii="仿宋" w:eastAsia="仿宋" w:cs="仿宋"/>
          <w:rtl w:val="0"/>
          <w:sz w:val="24"/>
          <w:szCs w:val="24"/>
        </w:rPr>
        <w:t>提高资源利用率</w:t>
      </w:r>
      <w:r>
        <w:rPr>
          <w:color w:val="2f3238"/>
          <w:rFonts w:ascii="仿宋" w:eastAsia="仿宋" w:cs="仿宋"/>
          <w:rtl w:val="0"/>
          <w:sz w:val="24"/>
          <w:szCs w:val="24"/>
        </w:rPr>
        <w:t>（滞销库存↓、闲置资产变现）</w:t>
      </w:r>
    </w:p>
    <w:p>
      <w:pPr>
        <w:pStyle w:val="shimo normal"/>
        <w:spacing w:line="240"/>
      </w:pPr>
      <w:r>
        <w:rPr>
          <w:color w:val="2f3238"/>
          <w:rFonts w:ascii="仿宋" w:eastAsia="仿宋" w:cs="仿宋"/>
          <w:rtl w:val="0"/>
          <w:sz w:val="24"/>
          <w:szCs w:val="24"/>
        </w:rPr>
        <w:t>✅ </w:t>
      </w:r>
      <w:r>
        <w:rPr>
          <w:b w:val="1"/>
          <w:color w:val="2f3238"/>
          <w:rFonts w:ascii="仿宋" w:eastAsia="仿宋" w:cs="仿宋"/>
          <w:rtl w:val="0"/>
          <w:sz w:val="24"/>
          <w:szCs w:val="24"/>
        </w:rPr>
        <w:t>加速库存周转</w:t>
      </w:r>
      <w:r>
        <w:rPr>
          <w:color w:val="2f3238"/>
          <w:rFonts w:ascii="仿宋" w:eastAsia="仿宋" w:cs="仿宋"/>
          <w:rtl w:val="0"/>
          <w:sz w:val="24"/>
          <w:szCs w:val="24"/>
        </w:rPr>
        <w:t>（库存周转率↑）</w:t>
      </w:r>
    </w:p>
    <w:p>
      <w:pPr>
        <w:pStyle w:val="shimo normal"/>
        <w:spacing w:line="240"/>
      </w:pPr>
      <w:r>
        <w:rPr>
          <w:color w:val="2f3238"/>
          <w:rFonts w:ascii="仿宋" w:eastAsia="仿宋" w:cs="仿宋"/>
          <w:rtl w:val="0"/>
          <w:sz w:val="24"/>
          <w:szCs w:val="24"/>
        </w:rPr>
        <w:t>✅ </w:t>
      </w:r>
      <w:r>
        <w:rPr>
          <w:b w:val="1"/>
          <w:color w:val="2f3238"/>
          <w:rFonts w:ascii="仿宋" w:eastAsia="仿宋" w:cs="仿宋"/>
          <w:rtl w:val="0"/>
          <w:sz w:val="24"/>
          <w:szCs w:val="24"/>
        </w:rPr>
        <w:t>优化终端体验</w:t>
      </w:r>
      <w:r>
        <w:rPr>
          <w:color w:val="2f3238"/>
          <w:rFonts w:ascii="仿宋" w:eastAsia="仿宋" w:cs="仿宋"/>
          <w:rtl w:val="0"/>
          <w:sz w:val="24"/>
          <w:szCs w:val="24"/>
        </w:rPr>
        <w:t>（店铺物流效率↑，减少缺货/积压）</w:t>
      </w:r>
    </w:p>
    <w:p>
      <w:pPr>
        <w:pStyle w:val="shimo heading 3"/>
        <w:spacing w:line="240"/>
      </w:pPr>
      <w:r>
        <w:rPr>
          <w:color w:val="2f3238"/>
          <w:rFonts w:ascii="仿宋" w:eastAsia="仿宋" w:cs="仿宋"/>
          <w:rtl w:val="0"/>
          <w:sz w:val="24"/>
          <w:szCs w:val="24"/>
        </w:rPr>
        <w:t>三、</w:t>
      </w:r>
      <w:r>
        <w:rPr>
          <w:b w:val="1"/>
          <w:rFonts w:ascii="仿宋" w:eastAsia="仿宋" w:cs="仿宋"/>
          <w:rtl w:val="0"/>
          <w:sz w:val="24"/>
          <w:szCs w:val="24"/>
        </w:rPr>
        <w:t>参与人员及会议时间</w:t>
      </w:r>
    </w:p>
    <w:p>
      <w:pPr>
        <w:pStyle w:val="shimo normal"/>
        <w:spacing w:line="240"/>
      </w:pPr>
      <w:r>
        <w:rPr>
          <w:rFonts w:ascii="仿宋" w:eastAsia="仿宋" w:cs="仿宋"/>
          <w:rtl w:val="0"/>
          <w:sz w:val="24"/>
          <w:szCs w:val="24"/>
        </w:rPr>
        <w:t>参会人员：仓储管理部全员</w:t>
      </w:r>
    </w:p>
    <w:p>
      <w:pPr>
        <w:pStyle w:val="shimo normal"/>
        <w:spacing w:line="240"/>
      </w:pPr>
      <w:r>
        <w:rPr>
          <w:rFonts w:ascii="仿宋" w:eastAsia="仿宋" w:cs="仿宋"/>
          <w:rtl w:val="0"/>
          <w:sz w:val="24"/>
          <w:szCs w:val="24"/>
        </w:rPr>
        <w:t>会议时间：2025年4月14日</w:t>
      </w:r>
    </w:p>
    <w:p>
      <w:pPr>
        <w:pStyle w:val="shimo heading 3"/>
        <w:spacing w:line="240"/>
      </w:pPr>
      <w:r>
        <w:rPr>
          <w:rFonts w:ascii="仿宋" w:eastAsia="仿宋" w:cs="仿宋"/>
          <w:rtl w:val="0"/>
          <w:sz w:val="24"/>
          <w:szCs w:val="24"/>
        </w:rPr>
        <w:t>四、流程安排</w:t>
      </w:r>
    </w:p>
    <w:p>
      <w:pPr>
        <w:pStyle w:val="shimo normal"/>
        <w:spacing w:line="240"/>
      </w:pPr>
      <w:r>
        <w:rPr>
          <w:rFonts w:ascii="仿宋" w:eastAsia="仿宋" w:cs="仿宋"/>
          <w:rtl w:val="0"/>
          <w:sz w:val="24"/>
          <w:szCs w:val="24"/>
        </w:rPr>
        <w:t>     主R负责人将首先介绍自己所负责的指标相关内容。随后，由主持人引导大家探讨问题，进行集体讨论与交流。在讨论过程中，主持人会将讨论结果记录在黑板上。整体讨论结束后，主持人将对优秀建议和突出想法进行标注，以便后续执行。会议结束后，将根据标注的建议制定具体的实施方案。</w:t>
      </w:r>
    </w:p>
    <w:p>
      <w:pPr>
        <w:pStyle w:val="shimo heading 3"/>
        <w:spacing w:line="240"/>
      </w:pPr>
      <w:r>
        <w:rPr>
          <w:rFonts w:ascii="仿宋" w:eastAsia="仿宋" w:cs="仿宋"/>
          <w:rtl w:val="0"/>
          <w:sz w:val="24"/>
          <w:szCs w:val="24"/>
        </w:rPr>
        <w:t>五、讨论与结果</w:t>
      </w:r>
    </w:p>
    <w:p>
      <w:pPr>
        <w:pStyle w:val="shimo normal"/>
        <w:spacing w:line="240"/>
      </w:pPr>
      <w:r>
        <w:rPr>
          <w:rFonts w:ascii="仿宋" w:eastAsia="仿宋" w:cs="仿宋"/>
          <w:rtl w:val="0"/>
          <w:sz w:val="24"/>
          <w:szCs w:val="24"/>
        </w:rPr>
        <w:t>通过发散性，创造性的交流和讨论后，得出了本次头脑风暴的结论：</w:t>
      </w:r>
    </w:p>
    <w:p>
      <w:pPr>
        <w:pStyle w:val="shimo heading 4"/>
        <w:spacing w:line="240"/>
      </w:pPr>
      <w:r>
        <w:rPr>
          <w:rFonts w:ascii="仿宋" w:eastAsia="仿宋" w:cs="仿宋"/>
          <w:rtl w:val="0"/>
          <w:sz w:val="24"/>
          <w:szCs w:val="24"/>
        </w:rPr>
        <w:t>物流成本</w:t>
      </w:r>
    </w:p>
    <w:p>
      <w:pPr>
        <w:pStyle w:val="shimo normal"/>
        <w:spacing w:line="240"/>
      </w:pPr>
      <w:r>
        <w:rPr>
          <w:b w:val="1"/>
          <w:rFonts w:ascii="仿宋" w:eastAsia="仿宋" w:cs="仿宋"/>
          <w:rtl w:val="0"/>
          <w:sz w:val="24"/>
          <w:szCs w:val="24"/>
        </w:rPr>
        <w:t>包材尺寸整改及设计</w:t>
      </w:r>
      <w:r>
        <w:rPr>
          <w:rFonts w:ascii="仿宋" w:eastAsia="仿宋" w:cs="仿宋"/>
          <w:rtl w:val="0"/>
          <w:sz w:val="24"/>
          <w:szCs w:val="24"/>
        </w:rPr>
        <w:t>：</w:t>
      </w:r>
      <w:r>
        <w:rPr>
          <w:rFonts w:ascii="仿宋" w:eastAsia="仿宋" w:cs="仿宋"/>
          <w:rtl w:val="0"/>
          <w:sz w:val="24"/>
          <w:szCs w:val="24"/>
        </w:rPr>
        <w:t>参照或类比其他成功案例，优化小规格产品的尺寸设计；提高耗材的二次利用率，从而降低包材成本。</w:t>
      </w:r>
    </w:p>
    <w:p>
      <w:pPr>
        <w:pStyle w:val="shimo normal"/>
        <w:spacing w:line="240"/>
      </w:pPr>
      <w:r>
        <w:rPr>
          <w:b w:val="1"/>
          <w:rFonts w:ascii="仿宋" w:eastAsia="仿宋" w:cs="仿宋"/>
          <w:rtl w:val="0"/>
          <w:sz w:val="24"/>
          <w:szCs w:val="24"/>
        </w:rPr>
        <w:t>物流价格对比及替换方案</w:t>
      </w:r>
      <w:r>
        <w:rPr>
          <w:rFonts w:ascii="仿宋" w:eastAsia="仿宋" w:cs="仿宋"/>
          <w:rtl w:val="0"/>
          <w:sz w:val="24"/>
          <w:szCs w:val="24"/>
        </w:rPr>
        <w:t>：</w:t>
      </w:r>
      <w:r>
        <w:rPr>
          <w:rFonts w:ascii="仿宋" w:eastAsia="仿宋" w:cs="仿宋"/>
          <w:rtl w:val="0"/>
          <w:sz w:val="24"/>
          <w:szCs w:val="24"/>
        </w:rPr>
        <w:t>对比跨越零担和顺丰卡航的价格优势；评估替换方案的可行性，以期实现进一步的成本优化。</w:t>
      </w:r>
    </w:p>
    <w:p>
      <w:pPr>
        <w:pStyle w:val="shimo normal"/>
        <w:spacing w:line="240"/>
      </w:pPr>
      <w:r>
        <w:rPr>
          <w:b w:val="1"/>
          <w:rFonts w:ascii="仿宋" w:eastAsia="仿宋" w:cs="仿宋"/>
          <w:rtl w:val="0"/>
          <w:sz w:val="24"/>
          <w:szCs w:val="24"/>
        </w:rPr>
        <w:t>保价费用策略</w:t>
      </w:r>
      <w:r>
        <w:rPr>
          <w:rFonts w:ascii="仿宋" w:eastAsia="仿宋" w:cs="仿宋"/>
          <w:rtl w:val="0"/>
          <w:sz w:val="24"/>
          <w:szCs w:val="24"/>
        </w:rPr>
        <w:t>：</w:t>
      </w:r>
      <w:r>
        <w:rPr>
          <w:rFonts w:ascii="仿宋" w:eastAsia="仿宋" w:cs="仿宋"/>
          <w:rtl w:val="0"/>
          <w:sz w:val="24"/>
          <w:szCs w:val="24"/>
        </w:rPr>
        <w:t>根据实际业务场景执行保价费用；评估节约成本的潜力及可能的风险变动点。</w:t>
      </w:r>
    </w:p>
    <w:p>
      <w:pPr>
        <w:pStyle w:val="shimo normal"/>
        <w:spacing w:line="240"/>
      </w:pPr>
      <w:r>
        <w:rPr>
          <w:b w:val="1"/>
          <w:rFonts w:ascii="仿宋" w:eastAsia="仿宋" w:cs="仿宋"/>
          <w:rtl w:val="0"/>
          <w:sz w:val="24"/>
          <w:szCs w:val="24"/>
        </w:rPr>
        <w:t>内部申领订单优化</w:t>
      </w:r>
      <w:r>
        <w:rPr>
          <w:rFonts w:ascii="仿宋" w:eastAsia="仿宋" w:cs="仿宋"/>
          <w:rtl w:val="0"/>
          <w:sz w:val="24"/>
          <w:szCs w:val="24"/>
        </w:rPr>
        <w:t>：</w:t>
      </w:r>
      <w:r>
        <w:rPr>
          <w:rFonts w:ascii="仿宋" w:eastAsia="仿宋" w:cs="仿宋"/>
          <w:rtl w:val="0"/>
          <w:sz w:val="24"/>
          <w:szCs w:val="24"/>
        </w:rPr>
        <w:t>在订单页面增加“金额”字段；增强业务人员对成本的感知度，并通知该费用将划拨到提单人的部门。</w:t>
      </w:r>
    </w:p>
    <w:p>
      <w:pPr>
        <w:pStyle w:val="shimo normal"/>
        <w:spacing w:line="240"/>
      </w:pPr>
      <w:r>
        <w:rPr>
          <w:b w:val="1"/>
          <w:rFonts w:ascii="仿宋" w:eastAsia="仿宋" w:cs="仿宋"/>
          <w:rtl w:val="0"/>
          <w:sz w:val="24"/>
          <w:szCs w:val="24"/>
        </w:rPr>
        <w:t>重量采集变更确认</w:t>
      </w:r>
      <w:r>
        <w:rPr>
          <w:rFonts w:ascii="仿宋" w:eastAsia="仿宋" w:cs="仿宋"/>
          <w:rtl w:val="0"/>
          <w:sz w:val="24"/>
          <w:szCs w:val="24"/>
        </w:rPr>
        <w:t>：</w:t>
      </w:r>
      <w:r>
        <w:rPr>
          <w:rFonts w:ascii="仿宋" w:eastAsia="仿宋" w:cs="仿宋"/>
          <w:rtl w:val="0"/>
          <w:sz w:val="24"/>
          <w:szCs w:val="24"/>
        </w:rPr>
        <w:t>变更重量采集后需上传实际拍照图片，作为二次确认的依据。</w:t>
      </w:r>
    </w:p>
    <w:p>
      <w:pPr>
        <w:pStyle w:val="shimo heading 4"/>
        <w:spacing w:line="240"/>
      </w:pPr>
      <w:r>
        <w:rPr>
          <w:rFonts w:ascii="仿宋" w:eastAsia="仿宋" w:cs="仿宋"/>
          <w:rtl w:val="0"/>
          <w:sz w:val="24"/>
          <w:szCs w:val="24"/>
        </w:rPr>
        <w:t>变废为宝</w:t>
      </w:r>
    </w:p>
    <w:p>
      <w:pPr>
        <w:pStyle w:val="shimo normal"/>
        <w:spacing w:line="240"/>
      </w:pPr>
      <w:r>
        <w:rPr>
          <w:b w:val="1"/>
          <w:rFonts w:ascii="仿宋" w:eastAsia="仿宋" w:cs="仿宋"/>
          <w:rtl w:val="0"/>
          <w:sz w:val="24"/>
          <w:szCs w:val="24"/>
        </w:rPr>
        <w:t>多样化宣传和推广形式</w:t>
      </w:r>
      <w:r>
        <w:rPr>
          <w:rFonts w:ascii="仿宋" w:eastAsia="仿宋" w:cs="仿宋"/>
          <w:rtl w:val="0"/>
          <w:sz w:val="24"/>
          <w:szCs w:val="24"/>
        </w:rPr>
        <w:t>：</w:t>
      </w:r>
      <w:r>
        <w:rPr>
          <w:rFonts w:ascii="仿宋" w:eastAsia="仿宋" w:cs="仿宋"/>
          <w:rtl w:val="0"/>
          <w:sz w:val="24"/>
          <w:szCs w:val="24"/>
        </w:rPr>
        <w:t>增加拼团、分类、多类同时推广；直播宣传、话题讨论组；二手平台、盲盒、套餐等多种形式；全方位、多渠道进行宣传和推广。</w:t>
      </w:r>
    </w:p>
    <w:p>
      <w:pPr>
        <w:pStyle w:val="shimo normal"/>
        <w:spacing w:line="240"/>
      </w:pPr>
      <w:r>
        <w:rPr>
          <w:b w:val="1"/>
          <w:rFonts w:ascii="仿宋" w:eastAsia="仿宋" w:cs="仿宋"/>
          <w:rtl w:val="0"/>
          <w:sz w:val="24"/>
          <w:szCs w:val="24"/>
        </w:rPr>
        <w:t>精细化库存管理</w:t>
      </w:r>
      <w:r>
        <w:rPr>
          <w:rFonts w:ascii="仿宋" w:eastAsia="仿宋" w:cs="仿宋"/>
          <w:rtl w:val="0"/>
          <w:sz w:val="24"/>
          <w:szCs w:val="24"/>
        </w:rPr>
        <w:t>：</w:t>
      </w:r>
      <w:r>
        <w:rPr>
          <w:rFonts w:ascii="仿宋" w:eastAsia="仿宋" w:cs="仿宋"/>
          <w:rtl w:val="0"/>
          <w:sz w:val="24"/>
          <w:szCs w:val="24"/>
        </w:rPr>
        <w:t>实施“一品一位”的库存管理策略；增加分拨墙，提高库存管理的精度。</w:t>
      </w:r>
    </w:p>
    <w:p>
      <w:pPr>
        <w:pStyle w:val="shimo heading 4"/>
        <w:spacing w:line="240"/>
      </w:pPr>
      <w:r>
        <w:rPr>
          <w:rFonts w:ascii="仿宋" w:eastAsia="仿宋" w:cs="仿宋"/>
          <w:rtl w:val="0"/>
          <w:sz w:val="24"/>
          <w:szCs w:val="24"/>
        </w:rPr>
        <w:t>物流体验分</w:t>
      </w:r>
    </w:p>
    <w:p>
      <w:pPr>
        <w:pStyle w:val="shimo normal"/>
        <w:spacing w:line="240"/>
      </w:pPr>
      <w:r>
        <w:rPr>
          <w:b w:val="1"/>
          <w:rFonts w:ascii="仿宋" w:eastAsia="仿宋" w:cs="仿宋"/>
          <w:rtl w:val="0"/>
          <w:sz w:val="24"/>
          <w:szCs w:val="24"/>
        </w:rPr>
        <w:t>调研天猫平台规则及考核内容</w:t>
      </w:r>
      <w:r>
        <w:rPr>
          <w:rFonts w:ascii="仿宋" w:eastAsia="仿宋" w:cs="仿宋"/>
          <w:rtl w:val="0"/>
          <w:sz w:val="24"/>
          <w:szCs w:val="24"/>
        </w:rPr>
        <w:t>：</w:t>
      </w:r>
      <w:r>
        <w:rPr>
          <w:rFonts w:ascii="仿宋" w:eastAsia="仿宋" w:cs="仿宋"/>
          <w:rtl w:val="0"/>
          <w:sz w:val="24"/>
          <w:szCs w:val="24"/>
        </w:rPr>
        <w:t>提取同类平台的相似点进行分析；线下与有经验的天猫平台供应商沟通，更好地了解并优化考核机制的设定。</w:t>
      </w:r>
    </w:p>
    <w:p>
      <w:pPr>
        <w:pStyle w:val="shimo normal"/>
        <w:spacing w:line="240"/>
      </w:pPr>
      <w:r>
        <w:rPr>
          <w:b w:val="1"/>
          <w:rFonts w:ascii="仿宋" w:eastAsia="仿宋" w:cs="仿宋"/>
          <w:rtl w:val="0"/>
          <w:sz w:val="24"/>
          <w:szCs w:val="24"/>
        </w:rPr>
        <w:t>系统支持与营销策略联动</w:t>
      </w:r>
      <w:r>
        <w:rPr>
          <w:rFonts w:ascii="仿宋" w:eastAsia="仿宋" w:cs="仿宋"/>
          <w:rtl w:val="0"/>
          <w:sz w:val="24"/>
          <w:szCs w:val="24"/>
        </w:rPr>
        <w:t>：</w:t>
      </w:r>
      <w:r>
        <w:rPr>
          <w:rFonts w:ascii="仿宋" w:eastAsia="仿宋" w:cs="仿宋"/>
          <w:rtl w:val="0"/>
          <w:sz w:val="24"/>
          <w:szCs w:val="24"/>
        </w:rPr>
        <w:t>自研系统配合营销策略，建议优化考核机制，提高物流体验评分，提升用户满意度。</w:t>
      </w:r>
    </w:p>
    <w:p>
      <w:pPr>
        <w:pStyle w:val="shimo heading 4"/>
        <w:spacing w:line="240"/>
      </w:pPr>
      <w:r>
        <w:rPr>
          <w:rFonts w:ascii="仿宋" w:eastAsia="仿宋" w:cs="仿宋"/>
          <w:rtl w:val="0"/>
          <w:sz w:val="24"/>
          <w:szCs w:val="24"/>
        </w:rPr>
        <w:t>库存周转</w:t>
      </w:r>
    </w:p>
    <w:p>
      <w:pPr>
        <w:pStyle w:val="shimo normal"/>
        <w:spacing w:line="240"/>
      </w:pPr>
      <w:r>
        <w:rPr>
          <w:b w:val="1"/>
          <w:rFonts w:ascii="仿宋" w:eastAsia="仿宋" w:cs="仿宋"/>
          <w:rtl w:val="0"/>
          <w:sz w:val="24"/>
          <w:szCs w:val="24"/>
        </w:rPr>
        <w:t>库存精细化管理</w:t>
      </w:r>
      <w:r>
        <w:rPr>
          <w:rFonts w:ascii="仿宋" w:eastAsia="仿宋" w:cs="仿宋"/>
          <w:rtl w:val="0"/>
          <w:sz w:val="24"/>
          <w:szCs w:val="24"/>
        </w:rPr>
        <w:t>：</w:t>
      </w:r>
      <w:r>
        <w:rPr>
          <w:rFonts w:ascii="仿宋" w:eastAsia="仿宋" w:cs="仿宋"/>
          <w:rtl w:val="0"/>
          <w:sz w:val="24"/>
          <w:szCs w:val="24"/>
        </w:rPr>
        <w:t>结合刘宝红课程中的“安全库存”、“周转库存”、“过剩库存”等概念，实现更精准的库存计算和管理。</w:t>
      </w:r>
    </w:p>
    <w:p>
      <w:pPr>
        <w:pStyle w:val="shimo normal"/>
        <w:spacing w:line="240"/>
      </w:pPr>
      <w:r>
        <w:rPr>
          <w:b w:val="1"/>
          <w:rFonts w:ascii="仿宋" w:eastAsia="仿宋" w:cs="仿宋"/>
          <w:rtl w:val="0"/>
          <w:sz w:val="24"/>
          <w:szCs w:val="24"/>
        </w:rPr>
        <w:t>数据透明化与共享</w:t>
      </w:r>
      <w:r>
        <w:rPr>
          <w:rFonts w:ascii="仿宋" w:eastAsia="仿宋" w:cs="仿宋"/>
          <w:rtl w:val="0"/>
          <w:sz w:val="24"/>
          <w:szCs w:val="24"/>
        </w:rPr>
        <w:t>：</w:t>
      </w:r>
      <w:r>
        <w:rPr>
          <w:rFonts w:ascii="仿宋" w:eastAsia="仿宋" w:cs="仿宋"/>
          <w:rtl w:val="0"/>
          <w:sz w:val="24"/>
          <w:szCs w:val="24"/>
        </w:rPr>
        <w:t>实现数据透明化，促进数据共享；建立订单评审机制，并设置红黑榜单。</w:t>
      </w:r>
    </w:p>
    <w:p>
      <w:pPr>
        <w:pStyle w:val="shimo normal"/>
        <w:spacing w:line="240"/>
      </w:pPr>
      <w:r>
        <w:rPr>
          <w:b w:val="1"/>
          <w:rFonts w:ascii="仿宋" w:eastAsia="仿宋" w:cs="仿宋"/>
          <w:rtl w:val="0"/>
          <w:sz w:val="24"/>
          <w:szCs w:val="24"/>
        </w:rPr>
        <w:t>残品管理</w:t>
      </w:r>
      <w:r>
        <w:rPr>
          <w:rFonts w:ascii="仿宋" w:eastAsia="仿宋" w:cs="仿宋"/>
          <w:rtl w:val="0"/>
          <w:sz w:val="24"/>
          <w:szCs w:val="24"/>
        </w:rPr>
        <w:t>：</w:t>
      </w:r>
      <w:r>
        <w:rPr>
          <w:rFonts w:ascii="仿宋" w:eastAsia="仿宋" w:cs="仿宋"/>
          <w:rtl w:val="0"/>
          <w:sz w:val="24"/>
          <w:szCs w:val="24"/>
        </w:rPr>
        <w:t>对残品进行模块化管理，提高管理效率。</w:t>
      </w:r>
    </w:p>
    <w:p>
      <w:pPr>
        <w:pStyle w:val="shimo heading 3"/>
        <w:spacing w:line="240"/>
      </w:pPr>
      <w:r>
        <w:rPr>
          <w:rFonts w:ascii="仿宋" w:eastAsia="仿宋" w:cs="仿宋"/>
          <w:rtl w:val="0"/>
          <w:sz w:val="24"/>
          <w:szCs w:val="24"/>
        </w:rPr>
        <w:t>六、总结</w:t>
      </w:r>
    </w:p>
    <w:p>
      <w:pPr>
        <w:pStyle w:val="shimo normal"/>
        <w:spacing w:line="240"/>
      </w:pPr>
      <w:r>
        <w:rPr>
          <w:color w:val="2f3238"/>
          <w:rFonts w:ascii="仿宋" w:eastAsia="仿宋" w:cs="仿宋"/>
          <w:rtl w:val="0"/>
          <w:sz w:val="24"/>
          <w:szCs w:val="24"/>
        </w:rPr>
        <w:t>     通过本次头脑风暴，我们在件均成本、变废为宝、库存周转和店铺物流四个方面提出了许多可行的策略和方案。这些建议不仅有助于优化企业的成本结构，提高运营效率，还能推动企业的可持续发展。希望这些讨论成果能够为企业的进一步发展提供有力支持。</w:t>
      </w:r>
    </w:p>
    <w:p>
      <w:pPr>
        <w:pStyle w:val="shimo heading 3"/>
        <w:spacing w:line="240"/>
      </w:pPr>
      <w:r>
        <w:rPr>
          <w:color w:val="2f3238"/>
          <w:rFonts w:ascii="仿宋" w:eastAsia="仿宋" w:cs="仿宋"/>
          <w:rtl w:val="0"/>
          <w:sz w:val="24"/>
          <w:szCs w:val="24"/>
        </w:rPr>
        <w:t>七、精彩瞬间</w:t>
      </w:r>
    </w:p>
    <w:p>
      <w:pPr>
        <w:pStyle w:val="shimo normal"/>
        <w:spacing w:line="240"/>
      </w:pPr>
      <w:r>
        <w:rPr>
          <w:rtl w:val="0"/>
        </w:rPr>
        <w:drawing>
          <wp:inline>
            <wp:extent cx="5029200" cy="2806209"/>
            <wp:docPr id="115"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2"/>
                    <a:stretch>
                      <a:fillRect/>
                    </a:stretch>
                  </pic:blipFill>
                  <pic:spPr>
                    <a:xfrm>
                      <a:ext cx="5029200" cy="2806209"/>
                    </a:xfrm>
                    <a:prstGeom prst="rect"/>
                  </pic:spPr>
                </pic:pic>
              </a:graphicData>
            </a:graphic>
          </wp:inline>
        </w:drawing>
      </w:r>
    </w:p>
    <w:p>
      <w:pPr>
        <w:pStyle w:val="shimo normal"/>
        <w:spacing w:line="240"/>
      </w:pPr>
      <w:r>
        <w:rPr>
          <w:rtl w:val="0"/>
        </w:rPr>
        <w:drawing>
          <wp:inline>
            <wp:extent cx="5003292" cy="2824988"/>
            <wp:docPr id="117"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3"/>
                    <a:stretch>
                      <a:fillRect/>
                    </a:stretch>
                  </pic:blipFill>
                  <pic:spPr>
                    <a:xfrm>
                      <a:ext cx="5003292" cy="2824988"/>
                    </a:xfrm>
                    <a:prstGeom prst="rect"/>
                  </pic:spPr>
                </pic:pic>
              </a:graphicData>
            </a:graphic>
          </wp:inline>
        </w:drawing>
      </w:r>
    </w:p>
    <w:p>
      <w:pPr>
        <w:pStyle w:val="shimo normal"/>
        <w:spacing w:line="240"/>
      </w:pPr>
      <w:r>
        <w:rPr>
          <w:rtl w:val="0"/>
        </w:rPr>
        <w:drawing>
          <wp:inline>
            <wp:extent cx="5029200" cy="2828194"/>
            <wp:docPr id="119"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4"/>
                    <a:stretch>
                      <a:fillRect/>
                    </a:stretch>
                  </pic:blipFill>
                  <pic:spPr>
                    <a:xfrm>
                      <a:ext cx="5029200" cy="2828194"/>
                    </a:xfrm>
                    <a:prstGeom prst="rect"/>
                  </pic:spPr>
                </pic:pic>
              </a:graphicData>
            </a:graphic>
          </wp:inline>
        </w:drawing>
      </w:r>
    </w:p>
    <w:p>
      <w:pPr>
        <w:pStyle w:val="shimo normal"/>
        <w:spacing w:line="240"/>
      </w:pPr>
      <w:r>
        <w:rPr>
          <w:rtl w:val="0"/>
        </w:rPr>
        <w:drawing>
          <wp:inline>
            <wp:extent cx="5029200" cy="2828194"/>
            <wp:docPr id="121" name="Drawing 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2828194"/>
                    </a:xfrm>
                    <a:prstGeom prst="rect"/>
                  </pic:spPr>
                </pic:pic>
              </a:graphicData>
            </a:graphic>
          </wp:inline>
        </w:drawing>
      </w: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heading 5" w:customStyle="1">
    <w:name w:val="石墨文档标题 5"/>
    <w:next w:val="shimo normal"/>
    <w:uiPriority w:val="9"/>
    <w:unhideWhenUsed/>
    <w:qFormat/>
    <w:pPr>
      <w:outlineLvl w:val="5"/>
      <w:spacing w:after="260" w:before="260" w:lineRule="auto"/>
    </w:pPr>
    <w:rPr>
      <w:b/>
      <w:bCs/>
      <w:sz w:val="22"/>
      <w:szCs w:val="22"/>
    </w:rPr>
  </w:style>
  <w:style w:styleId="shimo heading 6" w:customStyle="1">
    <w:name w:val="石墨文档标题 6"/>
    <w:next w:val="shimo normal"/>
    <w:uiPriority w:val="9"/>
    <w:unhideWhenUsed/>
    <w:qFormat/>
    <w:pPr>
      <w:outlineLvl w:val="6"/>
      <w:spacing w:after="260" w:before="260" w:lineRule="auto"/>
    </w:pPr>
    <w:rPr>
      <w:b/>
      <w:bCs/>
      <w:sz w:val="22"/>
      <w:szCs w:val="22"/>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4" Type="http://schemas.openxmlformats.org/officeDocument/2006/relationships/image" TargetMode="Internal" Target="media/image3.png"/><Relationship Id="rId6" Type="http://schemas.openxmlformats.org/officeDocument/2006/relationships/numbering" TargetMode="Internal" Target="numbering.xml"/><Relationship Id="rId1" Type="http://schemas.openxmlformats.org/officeDocument/2006/relationships/styles" TargetMode="Internal" Target="styles.xml"/><Relationship Id="rId2" Type="http://schemas.openxmlformats.org/officeDocument/2006/relationships/image" TargetMode="Internal" Target="media/image1.png"/><Relationship Id="rId5" Type="http://schemas.openxmlformats.org/officeDocument/2006/relationships/image" TargetMode="Internal" Target="media/image4.png"/><Relationship Id="rId3" Type="http://schemas.openxmlformats.org/officeDocument/2006/relationships/image" TargetMode="Internal" Target="media/image2.png"/></Relationships>
</file>