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1152" w14:textId="62E1BDFC" w:rsidR="00140F7F" w:rsidRDefault="00140F7F" w:rsidP="00140F7F">
      <w:pPr>
        <w:rPr>
          <w:rFonts w:ascii="Times New Roman" w:hAnsi="Times New Roman" w:cs="Times New Roman"/>
          <w:b/>
          <w:sz w:val="56"/>
          <w:szCs w:val="56"/>
        </w:rPr>
      </w:pPr>
      <w:bookmarkStart w:id="0" w:name="_GoBack"/>
      <w:bookmarkEnd w:id="0"/>
      <w:r w:rsidRPr="00442188">
        <w:rPr>
          <w:rFonts w:ascii="Times New Roman" w:hAnsi="Times New Roman" w:cs="Times New Roman"/>
          <w:b/>
          <w:i/>
          <w:sz w:val="56"/>
          <w:szCs w:val="56"/>
        </w:rPr>
        <w:t>EViews</w:t>
      </w:r>
      <w:r w:rsidRPr="00A941BD">
        <w:rPr>
          <w:rFonts w:ascii="Times New Roman" w:hAnsi="Times New Roman" w:cs="Times New Roman"/>
          <w:b/>
          <w:sz w:val="56"/>
          <w:szCs w:val="56"/>
        </w:rPr>
        <w:t xml:space="preserve"> Exercises for Chapter </w:t>
      </w:r>
      <w:r>
        <w:rPr>
          <w:rFonts w:ascii="Times New Roman" w:hAnsi="Times New Roman" w:cs="Times New Roman"/>
          <w:b/>
          <w:sz w:val="56"/>
          <w:szCs w:val="56"/>
        </w:rPr>
        <w:t>13</w:t>
      </w:r>
    </w:p>
    <w:p w14:paraId="5BBE192E" w14:textId="77777777" w:rsidR="00140F7F" w:rsidRPr="00A941BD" w:rsidRDefault="00140F7F" w:rsidP="00140F7F">
      <w:pPr>
        <w:rPr>
          <w:rFonts w:ascii="Times New Roman" w:hAnsi="Times New Roman" w:cs="Times New Roman"/>
          <w:b/>
          <w:sz w:val="56"/>
          <w:szCs w:val="56"/>
        </w:rPr>
      </w:pPr>
    </w:p>
    <w:p w14:paraId="26D8E1DE" w14:textId="63C7EB5A" w:rsidR="00140F7F" w:rsidRPr="001D0123" w:rsidRDefault="00140F7F" w:rsidP="00140F7F">
      <w:pPr>
        <w:spacing w:after="0" w:line="480" w:lineRule="auto"/>
        <w:rPr>
          <w:rFonts w:ascii="Times New Roman" w:hAnsi="Times New Roman" w:cs="Times New Roman"/>
          <w:sz w:val="24"/>
          <w:szCs w:val="24"/>
        </w:rPr>
      </w:pPr>
      <w:r>
        <w:rPr>
          <w:rFonts w:ascii="Times New Roman" w:hAnsi="Times New Roman" w:cs="Times New Roman"/>
          <w:b/>
          <w:sz w:val="24"/>
          <w:szCs w:val="24"/>
        </w:rPr>
        <w:t>EXAMPLE 13.1:</w:t>
      </w:r>
      <w:r w:rsidRPr="00140F7F">
        <w:rPr>
          <w:rFonts w:ascii="Times New Roman" w:hAnsi="Times New Roman" w:cs="Times New Roman"/>
          <w:b/>
          <w:sz w:val="24"/>
          <w:szCs w:val="24"/>
        </w:rPr>
        <w:tab/>
      </w:r>
      <w:r w:rsidRPr="00140F7F">
        <w:rPr>
          <w:rFonts w:ascii="Times New Roman" w:hAnsi="Times New Roman" w:cs="Times New Roman"/>
          <w:b/>
          <w:bCs/>
          <w:iCs/>
          <w:sz w:val="24"/>
        </w:rPr>
        <w:t>The interaction of the UK bond and gilt markets</w:t>
      </w:r>
    </w:p>
    <w:p w14:paraId="695DB832" w14:textId="1F4674AD" w:rsidR="004712DD" w:rsidRDefault="00140F7F" w:rsidP="008332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interest_rates.</w:t>
      </w:r>
      <w:r w:rsidR="00ED74C7">
        <w:rPr>
          <w:rFonts w:ascii="Arial" w:hAnsi="Arial" w:cs="Arial"/>
        </w:rPr>
        <w:t>wf1</w:t>
      </w:r>
      <w:r>
        <w:rPr>
          <w:rFonts w:ascii="Times New Roman" w:hAnsi="Times New Roman" w:cs="Times New Roman"/>
          <w:sz w:val="24"/>
          <w:szCs w:val="24"/>
        </w:rPr>
        <w:t xml:space="preserve">. </w:t>
      </w:r>
      <w:r w:rsidR="008332B4">
        <w:rPr>
          <w:rFonts w:ascii="Times New Roman" w:hAnsi="Times New Roman" w:cs="Times New Roman"/>
          <w:sz w:val="24"/>
          <w:szCs w:val="24"/>
        </w:rPr>
        <w:t xml:space="preserve">As before, it uses the first differences </w:t>
      </w:r>
      <w:r w:rsidR="008332B4">
        <w:rPr>
          <w:rFonts w:ascii="Arial" w:hAnsi="Arial" w:cs="Arial"/>
        </w:rPr>
        <w:t xml:space="preserve">drs = d(rs) </w:t>
      </w:r>
      <w:r w:rsidR="008332B4">
        <w:rPr>
          <w:rFonts w:ascii="Times New Roman" w:hAnsi="Times New Roman" w:cs="Times New Roman"/>
          <w:sz w:val="24"/>
          <w:szCs w:val="24"/>
        </w:rPr>
        <w:t xml:space="preserve">and </w:t>
      </w:r>
      <w:r w:rsidR="008332B4">
        <w:rPr>
          <w:rFonts w:ascii="Arial" w:hAnsi="Arial" w:cs="Arial"/>
        </w:rPr>
        <w:t xml:space="preserve">dr20 = d(r20). </w:t>
      </w:r>
      <w:r w:rsidR="007554E4" w:rsidRPr="007554E4">
        <w:rPr>
          <w:rFonts w:ascii="Times New Roman" w:hAnsi="Times New Roman" w:cs="Times New Roman"/>
          <w:sz w:val="24"/>
          <w:szCs w:val="24"/>
        </w:rPr>
        <w:t>To estimate a VAR</w:t>
      </w:r>
      <w:r w:rsidR="007554E4">
        <w:rPr>
          <w:rFonts w:ascii="Times New Roman" w:hAnsi="Times New Roman" w:cs="Times New Roman"/>
          <w:sz w:val="24"/>
          <w:szCs w:val="24"/>
        </w:rPr>
        <w:t xml:space="preserve">, open the series </w:t>
      </w:r>
      <w:r w:rsidR="007554E4">
        <w:rPr>
          <w:rFonts w:ascii="Arial" w:hAnsi="Arial" w:cs="Arial"/>
        </w:rPr>
        <w:t xml:space="preserve">drs </w:t>
      </w:r>
      <w:r w:rsidR="007554E4">
        <w:rPr>
          <w:rFonts w:ascii="Times New Roman" w:hAnsi="Times New Roman" w:cs="Times New Roman"/>
          <w:sz w:val="24"/>
          <w:szCs w:val="24"/>
        </w:rPr>
        <w:t xml:space="preserve">and </w:t>
      </w:r>
      <w:r w:rsidR="007554E4">
        <w:rPr>
          <w:rFonts w:ascii="Arial" w:hAnsi="Arial" w:cs="Arial"/>
        </w:rPr>
        <w:t xml:space="preserve">dr20 </w:t>
      </w:r>
      <w:r w:rsidR="007554E4">
        <w:rPr>
          <w:rFonts w:ascii="Times New Roman" w:hAnsi="Times New Roman" w:cs="Times New Roman"/>
          <w:sz w:val="24"/>
          <w:szCs w:val="24"/>
        </w:rPr>
        <w:t xml:space="preserve">as a group and click </w:t>
      </w:r>
      <w:r w:rsidR="007035D0">
        <w:rPr>
          <w:rFonts w:ascii="Times New Roman" w:hAnsi="Times New Roman" w:cs="Times New Roman"/>
          <w:b/>
          <w:i/>
          <w:sz w:val="24"/>
          <w:szCs w:val="24"/>
        </w:rPr>
        <w:t>Open VAR…</w:t>
      </w:r>
      <w:r w:rsidR="007554E4">
        <w:rPr>
          <w:rFonts w:ascii="Times New Roman" w:hAnsi="Times New Roman" w:cs="Times New Roman"/>
          <w:sz w:val="24"/>
          <w:szCs w:val="24"/>
        </w:rPr>
        <w:t xml:space="preserve">. The default settings fit a VAR(2) with a constant and this should be </w:t>
      </w:r>
      <w:r w:rsidR="001B38D1">
        <w:rPr>
          <w:rFonts w:ascii="Times New Roman" w:hAnsi="Times New Roman" w:cs="Times New Roman"/>
          <w:sz w:val="24"/>
          <w:szCs w:val="24"/>
        </w:rPr>
        <w:t>done</w:t>
      </w:r>
      <w:r w:rsidR="007554E4">
        <w:rPr>
          <w:rFonts w:ascii="Times New Roman" w:hAnsi="Times New Roman" w:cs="Times New Roman"/>
          <w:sz w:val="24"/>
          <w:szCs w:val="24"/>
        </w:rPr>
        <w:t xml:space="preserve">. The material for Table 13.1 can then be obtained by clicking </w:t>
      </w:r>
      <w:r w:rsidR="007554E4">
        <w:rPr>
          <w:rFonts w:ascii="Times New Roman" w:hAnsi="Times New Roman" w:cs="Times New Roman"/>
          <w:b/>
          <w:i/>
          <w:sz w:val="24"/>
          <w:szCs w:val="24"/>
        </w:rPr>
        <w:t>View/Lag Structure/Lag Length Criteria…</w:t>
      </w:r>
      <w:r w:rsidR="007554E4">
        <w:rPr>
          <w:rFonts w:ascii="Times New Roman" w:hAnsi="Times New Roman" w:cs="Times New Roman"/>
          <w:sz w:val="24"/>
          <w:szCs w:val="24"/>
        </w:rPr>
        <w:t xml:space="preserve"> and changing ‘Lags to Include’ to 4. </w:t>
      </w:r>
    </w:p>
    <w:p w14:paraId="1D5C31F6" w14:textId="7F441ABF" w:rsidR="00384666" w:rsidRDefault="00384666" w:rsidP="008332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Clicking </w:t>
      </w:r>
      <w:r>
        <w:rPr>
          <w:rFonts w:ascii="Times New Roman" w:hAnsi="Times New Roman" w:cs="Times New Roman"/>
          <w:b/>
          <w:i/>
          <w:sz w:val="24"/>
          <w:szCs w:val="24"/>
        </w:rPr>
        <w:t xml:space="preserve">Estimate </w:t>
      </w:r>
      <w:r>
        <w:rPr>
          <w:rFonts w:ascii="Times New Roman" w:hAnsi="Times New Roman" w:cs="Times New Roman"/>
          <w:sz w:val="24"/>
          <w:szCs w:val="24"/>
        </w:rPr>
        <w:t xml:space="preserve">and changing ‘Lag Intervals for Endogenous’ to ‘1 1’ fits a VAR(1). Clicking </w:t>
      </w:r>
      <w:r>
        <w:rPr>
          <w:rFonts w:ascii="Times New Roman" w:hAnsi="Times New Roman" w:cs="Times New Roman"/>
          <w:b/>
          <w:i/>
          <w:sz w:val="24"/>
          <w:szCs w:val="24"/>
        </w:rPr>
        <w:t xml:space="preserve">View/Residual Tests/Correlograms </w:t>
      </w:r>
      <w:r w:rsidRPr="00384666">
        <w:rPr>
          <w:rFonts w:ascii="Times New Roman" w:hAnsi="Times New Roman" w:cs="Times New Roman"/>
          <w:sz w:val="24"/>
          <w:szCs w:val="24"/>
        </w:rPr>
        <w:t>then produces</w:t>
      </w:r>
      <w:r>
        <w:rPr>
          <w:rFonts w:ascii="Times New Roman" w:hAnsi="Times New Roman" w:cs="Times New Roman"/>
          <w:sz w:val="24"/>
          <w:szCs w:val="24"/>
        </w:rPr>
        <w:t xml:space="preserve"> residual autocorrelation and residual cross-correlation graphs (or tables if selected)</w:t>
      </w:r>
      <w:r w:rsidR="001B38D1">
        <w:rPr>
          <w:rFonts w:ascii="Times New Roman" w:hAnsi="Times New Roman" w:cs="Times New Roman"/>
          <w:sz w:val="24"/>
          <w:szCs w:val="24"/>
        </w:rPr>
        <w:t>,</w:t>
      </w:r>
      <w:r>
        <w:rPr>
          <w:rFonts w:ascii="Times New Roman" w:hAnsi="Times New Roman" w:cs="Times New Roman"/>
          <w:sz w:val="24"/>
          <w:szCs w:val="24"/>
        </w:rPr>
        <w:t xml:space="preserve"> from which the significant second order residual autocorrelation of the </w:t>
      </w:r>
      <w:r>
        <w:rPr>
          <w:rFonts w:ascii="Arial" w:hAnsi="Arial" w:cs="Arial"/>
        </w:rPr>
        <w:t xml:space="preserve">dr20 </w:t>
      </w:r>
      <w:r>
        <w:rPr>
          <w:rFonts w:ascii="Times New Roman" w:hAnsi="Times New Roman" w:cs="Times New Roman"/>
          <w:sz w:val="24"/>
          <w:szCs w:val="24"/>
        </w:rPr>
        <w:t xml:space="preserve">equation may be observed. </w:t>
      </w:r>
    </w:p>
    <w:p w14:paraId="1080A314" w14:textId="27ADF962" w:rsidR="00384666" w:rsidRDefault="00384666" w:rsidP="008332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Clicking </w:t>
      </w:r>
      <w:r>
        <w:rPr>
          <w:rFonts w:ascii="Times New Roman" w:hAnsi="Times New Roman" w:cs="Times New Roman"/>
          <w:b/>
          <w:i/>
          <w:sz w:val="24"/>
          <w:szCs w:val="24"/>
        </w:rPr>
        <w:t xml:space="preserve">Estimate </w:t>
      </w:r>
      <w:r>
        <w:rPr>
          <w:rFonts w:ascii="Times New Roman" w:hAnsi="Times New Roman" w:cs="Times New Roman"/>
          <w:sz w:val="24"/>
          <w:szCs w:val="24"/>
        </w:rPr>
        <w:t>and returning ‘Lag Intervals for Endogenous’ to ‘1 2’ obtains the VAR(2) fit again. On noting that the estimates of the intercept (</w:t>
      </w:r>
      <w:r>
        <w:rPr>
          <w:rFonts w:ascii="Arial" w:hAnsi="Arial" w:cs="Arial"/>
        </w:rPr>
        <w:t>c</w:t>
      </w:r>
      <w:r>
        <w:rPr>
          <w:rFonts w:ascii="Times New Roman" w:hAnsi="Times New Roman" w:cs="Times New Roman"/>
          <w:sz w:val="24"/>
          <w:szCs w:val="24"/>
        </w:rPr>
        <w:t xml:space="preserve">) in both equations are insignificant, repeating the estimation with </w:t>
      </w:r>
      <w:r>
        <w:rPr>
          <w:rFonts w:ascii="Arial" w:hAnsi="Arial" w:cs="Arial"/>
        </w:rPr>
        <w:t xml:space="preserve">c </w:t>
      </w:r>
      <w:r>
        <w:rPr>
          <w:rFonts w:ascii="Times New Roman" w:hAnsi="Times New Roman" w:cs="Times New Roman"/>
          <w:sz w:val="24"/>
          <w:szCs w:val="24"/>
        </w:rPr>
        <w:t xml:space="preserve">deleted as an Exogenous Variable will yield the estimates shown in the example. Various diagnostic checks can be applied with </w:t>
      </w:r>
      <w:r>
        <w:rPr>
          <w:rFonts w:ascii="Times New Roman" w:hAnsi="Times New Roman" w:cs="Times New Roman"/>
          <w:b/>
          <w:i/>
          <w:sz w:val="24"/>
          <w:szCs w:val="24"/>
        </w:rPr>
        <w:t>View/Residual Tests</w:t>
      </w:r>
      <w:r w:rsidR="001B38D1">
        <w:rPr>
          <w:rFonts w:ascii="Times New Roman" w:hAnsi="Times New Roman" w:cs="Times New Roman"/>
          <w:b/>
          <w:i/>
          <w:sz w:val="24"/>
          <w:szCs w:val="24"/>
        </w:rPr>
        <w:t xml:space="preserve"> </w:t>
      </w:r>
      <w:r w:rsidR="001B38D1">
        <w:rPr>
          <w:rFonts w:ascii="Times New Roman" w:hAnsi="Times New Roman" w:cs="Times New Roman"/>
          <w:sz w:val="24"/>
          <w:szCs w:val="24"/>
        </w:rPr>
        <w:t>and selecting from the options list.</w:t>
      </w:r>
    </w:p>
    <w:p w14:paraId="5844E869" w14:textId="13735FA0" w:rsidR="001B38D1" w:rsidRDefault="001B38D1" w:rsidP="008332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Granger causality Wald statistics may be obtained with </w:t>
      </w:r>
      <w:r>
        <w:rPr>
          <w:rFonts w:ascii="Times New Roman" w:hAnsi="Times New Roman" w:cs="Times New Roman"/>
          <w:b/>
          <w:i/>
          <w:sz w:val="24"/>
          <w:szCs w:val="24"/>
        </w:rPr>
        <w:t>View/Lag Structure/Granger Causality/Block Exogeneity Tests</w:t>
      </w:r>
      <w:r>
        <w:rPr>
          <w:rFonts w:ascii="Times New Roman" w:hAnsi="Times New Roman" w:cs="Times New Roman"/>
          <w:sz w:val="24"/>
          <w:szCs w:val="24"/>
        </w:rPr>
        <w:t xml:space="preserve">, while the contemporaneous correlation between the equation residuals is obtained with </w:t>
      </w:r>
      <w:r>
        <w:rPr>
          <w:rFonts w:ascii="Times New Roman" w:hAnsi="Times New Roman" w:cs="Times New Roman"/>
          <w:b/>
          <w:i/>
          <w:sz w:val="24"/>
          <w:szCs w:val="24"/>
        </w:rPr>
        <w:t>View/Residuals/Correlation Matrix</w:t>
      </w:r>
      <w:r>
        <w:rPr>
          <w:rFonts w:ascii="Times New Roman" w:hAnsi="Times New Roman" w:cs="Times New Roman"/>
          <w:sz w:val="24"/>
          <w:szCs w:val="24"/>
        </w:rPr>
        <w:t>.</w:t>
      </w:r>
    </w:p>
    <w:p w14:paraId="4C283A7E" w14:textId="3E58C48C" w:rsidR="007035D0" w:rsidRDefault="007035D0" w:rsidP="008332B4">
      <w:pPr>
        <w:spacing w:after="0" w:line="480" w:lineRule="auto"/>
        <w:rPr>
          <w:rFonts w:ascii="Times New Roman" w:hAnsi="Times New Roman" w:cs="Times New Roman"/>
          <w:sz w:val="24"/>
          <w:szCs w:val="24"/>
        </w:rPr>
      </w:pPr>
    </w:p>
    <w:p w14:paraId="6E79015A" w14:textId="77777777" w:rsidR="007035D0" w:rsidRDefault="007035D0" w:rsidP="008332B4">
      <w:pPr>
        <w:spacing w:after="0" w:line="480" w:lineRule="auto"/>
        <w:rPr>
          <w:rFonts w:ascii="Times New Roman" w:hAnsi="Times New Roman" w:cs="Times New Roman"/>
          <w:sz w:val="24"/>
          <w:szCs w:val="24"/>
        </w:rPr>
      </w:pPr>
    </w:p>
    <w:p w14:paraId="4BFC070E" w14:textId="2BF5B5B6" w:rsidR="001B38D1" w:rsidRDefault="003D7EBB" w:rsidP="003D7EBB">
      <w:pPr>
        <w:spacing w:after="0" w:line="480" w:lineRule="auto"/>
        <w:ind w:left="2160" w:hanging="2160"/>
        <w:rPr>
          <w:rFonts w:ascii="Times New Roman" w:hAnsi="Times New Roman" w:cs="Times New Roman"/>
          <w:b/>
          <w:sz w:val="24"/>
          <w:szCs w:val="24"/>
        </w:rPr>
      </w:pPr>
      <w:r>
        <w:rPr>
          <w:rFonts w:ascii="Times New Roman" w:hAnsi="Times New Roman" w:cs="Times New Roman"/>
          <w:b/>
          <w:sz w:val="24"/>
          <w:szCs w:val="24"/>
        </w:rPr>
        <w:lastRenderedPageBreak/>
        <w:t>EXAMPLE 13.2:</w:t>
      </w:r>
      <w:r>
        <w:rPr>
          <w:rFonts w:ascii="Times New Roman" w:hAnsi="Times New Roman" w:cs="Times New Roman"/>
          <w:b/>
          <w:sz w:val="24"/>
          <w:szCs w:val="24"/>
        </w:rPr>
        <w:tab/>
        <w:t>Variance decomposition and innovation accounting for the bond and gilt markets</w:t>
      </w:r>
    </w:p>
    <w:p w14:paraId="0C48BF3E" w14:textId="5B4D6FDD" w:rsidR="003D7EBB" w:rsidRDefault="003D7EBB" w:rsidP="00496BEC">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VMA coefficient matrices may be obtained from the VAR(2) by clicking </w:t>
      </w:r>
      <w:r w:rsidR="00496BEC">
        <w:rPr>
          <w:rFonts w:ascii="Times New Roman" w:hAnsi="Times New Roman" w:cs="Times New Roman"/>
          <w:b/>
          <w:i/>
          <w:sz w:val="24"/>
          <w:szCs w:val="24"/>
        </w:rPr>
        <w:t>View/Impulse Response…</w:t>
      </w:r>
      <w:r w:rsidR="00496BEC">
        <w:rPr>
          <w:rFonts w:ascii="Times New Roman" w:hAnsi="Times New Roman" w:cs="Times New Roman"/>
          <w:sz w:val="24"/>
          <w:szCs w:val="24"/>
        </w:rPr>
        <w:t xml:space="preserve">, selecting ‘Table’ for ‘Display Format’, clicking ‘Impulse Definition’ and selecting ‘Residual - one unit’. The first row of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Ψ</m:t>
            </m:r>
          </m:e>
          <m:sub>
            <m:r>
              <w:rPr>
                <w:rFonts w:ascii="Cambria Math" w:hAnsi="Cambria Math" w:cs="Times New Roman"/>
                <w:sz w:val="24"/>
                <w:szCs w:val="24"/>
              </w:rPr>
              <m:t>i</m:t>
            </m:r>
          </m:sub>
        </m:sSub>
      </m:oMath>
      <w:r w:rsidR="00496BEC">
        <w:rPr>
          <w:rFonts w:ascii="Times New Roman" w:eastAsiaTheme="minorEastAsia" w:hAnsi="Times New Roman" w:cs="Times New Roman"/>
          <w:sz w:val="24"/>
          <w:szCs w:val="24"/>
        </w:rPr>
        <w:t xml:space="preserve"> is given by the period </w:t>
      </w:r>
      <m:oMath>
        <m:r>
          <w:rPr>
            <w:rFonts w:ascii="Cambria Math" w:eastAsiaTheme="minorEastAsia" w:hAnsi="Cambria Math" w:cs="Times New Roman"/>
            <w:sz w:val="24"/>
            <w:szCs w:val="24"/>
          </w:rPr>
          <m:t>i+1</m:t>
        </m:r>
      </m:oMath>
      <w:r w:rsidR="00496BEC">
        <w:rPr>
          <w:rFonts w:ascii="Times New Roman" w:eastAsiaTheme="minorEastAsia" w:hAnsi="Times New Roman" w:cs="Times New Roman"/>
          <w:sz w:val="24"/>
          <w:szCs w:val="24"/>
        </w:rPr>
        <w:t xml:space="preserve"> row of the ‘Response of </w:t>
      </w:r>
      <w:r w:rsidR="00496BEC">
        <w:rPr>
          <w:rFonts w:ascii="Arial" w:eastAsiaTheme="minorEastAsia" w:hAnsi="Arial" w:cs="Arial"/>
        </w:rPr>
        <w:t>DRS</w:t>
      </w:r>
      <w:r w:rsidR="00496BEC">
        <w:rPr>
          <w:rFonts w:ascii="Times New Roman" w:eastAsiaTheme="minorEastAsia" w:hAnsi="Times New Roman" w:cs="Times New Roman"/>
          <w:sz w:val="24"/>
          <w:szCs w:val="24"/>
        </w:rPr>
        <w:t xml:space="preserve">’ table. Similarly, the second row of the matrix is given by the period </w:t>
      </w:r>
      <m:oMath>
        <m:r>
          <w:rPr>
            <w:rFonts w:ascii="Cambria Math" w:eastAsiaTheme="minorEastAsia" w:hAnsi="Cambria Math" w:cs="Times New Roman"/>
            <w:sz w:val="24"/>
            <w:szCs w:val="24"/>
          </w:rPr>
          <m:t>i+1</m:t>
        </m:r>
      </m:oMath>
      <w:r w:rsidR="00496BEC">
        <w:rPr>
          <w:rFonts w:ascii="Times New Roman" w:eastAsiaTheme="minorEastAsia" w:hAnsi="Times New Roman" w:cs="Times New Roman"/>
          <w:sz w:val="24"/>
          <w:szCs w:val="24"/>
        </w:rPr>
        <w:t xml:space="preserve"> row of the ‘Response of </w:t>
      </w:r>
      <w:r w:rsidR="00496BEC">
        <w:rPr>
          <w:rFonts w:ascii="Arial" w:eastAsiaTheme="minorEastAsia" w:hAnsi="Arial" w:cs="Arial"/>
        </w:rPr>
        <w:t>DR20</w:t>
      </w:r>
      <w:r w:rsidR="00496BEC">
        <w:rPr>
          <w:rFonts w:ascii="Times New Roman" w:eastAsiaTheme="minorEastAsia" w:hAnsi="Times New Roman" w:cs="Times New Roman"/>
          <w:sz w:val="24"/>
          <w:szCs w:val="24"/>
        </w:rPr>
        <w:t xml:space="preserve">’ table. The estimated error covariance matrix is obtained with </w:t>
      </w:r>
      <w:r w:rsidR="00496BEC">
        <w:rPr>
          <w:rFonts w:ascii="Times New Roman" w:eastAsiaTheme="minorEastAsia" w:hAnsi="Times New Roman" w:cs="Times New Roman"/>
          <w:b/>
          <w:i/>
          <w:sz w:val="24"/>
          <w:szCs w:val="24"/>
        </w:rPr>
        <w:t>View/Residuals/Covariance Matrix</w:t>
      </w:r>
      <w:r w:rsidR="00496BEC">
        <w:rPr>
          <w:rFonts w:ascii="Times New Roman" w:eastAsiaTheme="minorEastAsia" w:hAnsi="Times New Roman" w:cs="Times New Roman"/>
          <w:sz w:val="24"/>
          <w:szCs w:val="24"/>
        </w:rPr>
        <w:t>.</w:t>
      </w:r>
    </w:p>
    <w:p w14:paraId="44C95DDB" w14:textId="41322D7A" w:rsidR="00945C68" w:rsidRDefault="00945C68" w:rsidP="00496BEC">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The Cholesky decomposition matrix </w:t>
      </w:r>
      <w:r>
        <w:rPr>
          <w:rFonts w:ascii="Times New Roman" w:hAnsi="Times New Roman" w:cs="Times New Roman"/>
          <w:b/>
          <w:sz w:val="24"/>
          <w:szCs w:val="24"/>
        </w:rPr>
        <w:t xml:space="preserve">S </w:t>
      </w:r>
      <w:r>
        <w:rPr>
          <w:rFonts w:ascii="Times New Roman" w:hAnsi="Times New Roman" w:cs="Times New Roman"/>
          <w:sz w:val="24"/>
          <w:szCs w:val="24"/>
        </w:rPr>
        <w:t xml:space="preserve">is obtained with </w:t>
      </w:r>
      <w:r>
        <w:rPr>
          <w:rFonts w:ascii="Times New Roman" w:hAnsi="Times New Roman" w:cs="Times New Roman"/>
          <w:b/>
          <w:i/>
          <w:sz w:val="24"/>
          <w:szCs w:val="24"/>
        </w:rPr>
        <w:t>View/Impulse Response</w:t>
      </w:r>
      <w:r>
        <w:rPr>
          <w:rFonts w:ascii="Times New Roman" w:hAnsi="Times New Roman" w:cs="Times New Roman"/>
          <w:b/>
          <w:sz w:val="24"/>
          <w:szCs w:val="24"/>
        </w:rPr>
        <w:t xml:space="preserve">, </w:t>
      </w:r>
      <w:r w:rsidRPr="00945C68">
        <w:rPr>
          <w:rFonts w:ascii="Times New Roman" w:hAnsi="Times New Roman" w:cs="Times New Roman"/>
          <w:sz w:val="24"/>
          <w:szCs w:val="24"/>
        </w:rPr>
        <w:t xml:space="preserve">clicking </w:t>
      </w:r>
      <w:r>
        <w:rPr>
          <w:rFonts w:ascii="Times New Roman" w:hAnsi="Times New Roman" w:cs="Times New Roman"/>
          <w:sz w:val="24"/>
          <w:szCs w:val="24"/>
        </w:rPr>
        <w:t xml:space="preserve">‘Impulse Definition’ and selecting ‘Cholesky – dof adjusted’. </w:t>
      </w:r>
      <w:r w:rsidR="000C6CA7">
        <w:rPr>
          <w:rFonts w:ascii="Times New Roman" w:hAnsi="Times New Roman" w:cs="Times New Roman"/>
          <w:sz w:val="24"/>
          <w:szCs w:val="24"/>
        </w:rPr>
        <w:t xml:space="preserve">The first row of </w:t>
      </w:r>
      <w:r w:rsidR="000C6CA7">
        <w:rPr>
          <w:rFonts w:ascii="Times New Roman" w:hAnsi="Times New Roman" w:cs="Times New Roman"/>
          <w:b/>
          <w:sz w:val="24"/>
          <w:szCs w:val="24"/>
        </w:rPr>
        <w:t xml:space="preserve">S </w:t>
      </w:r>
      <w:r w:rsidR="000C6CA7">
        <w:rPr>
          <w:rFonts w:ascii="Times New Roman" w:hAnsi="Times New Roman" w:cs="Times New Roman"/>
          <w:sz w:val="24"/>
          <w:szCs w:val="24"/>
        </w:rPr>
        <w:t xml:space="preserve">is given by the period 1 row of the ‘Response of </w:t>
      </w:r>
      <w:r w:rsidR="000C6CA7">
        <w:rPr>
          <w:rFonts w:ascii="Arial" w:hAnsi="Arial" w:cs="Arial"/>
        </w:rPr>
        <w:t>DRS</w:t>
      </w:r>
      <w:r w:rsidR="000C6CA7">
        <w:rPr>
          <w:rFonts w:ascii="Times New Roman" w:hAnsi="Times New Roman" w:cs="Times New Roman"/>
          <w:sz w:val="24"/>
          <w:szCs w:val="24"/>
        </w:rPr>
        <w:t xml:space="preserve">’ table and the second row is given by the period 1 row of the ‘Response of </w:t>
      </w:r>
      <w:r w:rsidR="000C6CA7">
        <w:rPr>
          <w:rFonts w:ascii="Arial" w:hAnsi="Arial" w:cs="Arial"/>
        </w:rPr>
        <w:t>DR20</w:t>
      </w:r>
      <w:r w:rsidR="000C6CA7">
        <w:rPr>
          <w:rFonts w:ascii="Times New Roman" w:hAnsi="Times New Roman" w:cs="Times New Roman"/>
          <w:sz w:val="24"/>
          <w:szCs w:val="24"/>
        </w:rPr>
        <w:t xml:space="preserve">’ table. The elements of the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O</m:t>
            </m:r>
          </m:sup>
        </m:sSubSup>
      </m:oMath>
      <w:r w:rsidR="000C6CA7">
        <w:rPr>
          <w:rFonts w:ascii="Times New Roman" w:eastAsiaTheme="minorEastAsia" w:hAnsi="Times New Roman" w:cs="Times New Roman"/>
          <w:sz w:val="24"/>
          <w:szCs w:val="24"/>
        </w:rPr>
        <w:t xml:space="preserve"> are then obtained as before. The accumulated response functions are obtained by repeating the command but this time checking ‘Accumulated Responses’. </w:t>
      </w:r>
      <w:r w:rsidR="007035D0">
        <w:rPr>
          <w:rFonts w:ascii="Times New Roman" w:eastAsiaTheme="minorEastAsia" w:hAnsi="Times New Roman" w:cs="Times New Roman"/>
          <w:sz w:val="24"/>
          <w:szCs w:val="24"/>
        </w:rPr>
        <w:t>Changing the ‘Cholesky Ordering’ to ‘</w:t>
      </w:r>
      <w:r w:rsidR="007035D0">
        <w:rPr>
          <w:rFonts w:ascii="Arial" w:eastAsiaTheme="minorEastAsia" w:hAnsi="Arial" w:cs="Arial"/>
        </w:rPr>
        <w:t>dr20 drs</w:t>
      </w:r>
      <w:r w:rsidR="007035D0">
        <w:rPr>
          <w:rFonts w:ascii="Times New Roman" w:eastAsiaTheme="minorEastAsia" w:hAnsi="Times New Roman" w:cs="Times New Roman"/>
          <w:sz w:val="24"/>
          <w:szCs w:val="24"/>
        </w:rPr>
        <w:t>’ will change the ordering of the series.</w:t>
      </w:r>
      <w:r w:rsidR="007035D0">
        <w:rPr>
          <w:rFonts w:ascii="Arial" w:eastAsiaTheme="minorEastAsia" w:hAnsi="Arial" w:cs="Arial"/>
        </w:rPr>
        <w:t xml:space="preserve"> </w:t>
      </w:r>
      <w:r w:rsidR="000C6CA7">
        <w:rPr>
          <w:rFonts w:ascii="Times New Roman" w:eastAsiaTheme="minorEastAsia" w:hAnsi="Times New Roman" w:cs="Times New Roman"/>
          <w:sz w:val="24"/>
          <w:szCs w:val="24"/>
        </w:rPr>
        <w:t>Selecting the graphical representation of these impulse response functions will then provide the material for Figure 13.1. Repeating and selecting ‘Generalise Impulses’ as the ‘Impulse Definition’ will similarly provide the material for Figure 13.</w:t>
      </w:r>
      <w:r w:rsidR="007035D0">
        <w:rPr>
          <w:rFonts w:ascii="Times New Roman" w:eastAsiaTheme="minorEastAsia" w:hAnsi="Times New Roman" w:cs="Times New Roman"/>
          <w:sz w:val="24"/>
          <w:szCs w:val="24"/>
        </w:rPr>
        <w:t>2</w:t>
      </w:r>
      <w:r w:rsidR="000C6CA7">
        <w:rPr>
          <w:rFonts w:ascii="Times New Roman" w:eastAsiaTheme="minorEastAsia" w:hAnsi="Times New Roman" w:cs="Times New Roman"/>
          <w:sz w:val="24"/>
          <w:szCs w:val="24"/>
        </w:rPr>
        <w:t>.</w:t>
      </w:r>
      <w:r w:rsidR="007035D0">
        <w:rPr>
          <w:rFonts w:ascii="Times New Roman" w:eastAsiaTheme="minorEastAsia" w:hAnsi="Times New Roman" w:cs="Times New Roman"/>
          <w:sz w:val="24"/>
          <w:szCs w:val="24"/>
        </w:rPr>
        <w:t xml:space="preserve"> The variance decompositions shown in Figure 13.3 are obtained by clicking </w:t>
      </w:r>
      <w:r w:rsidR="007035D0">
        <w:rPr>
          <w:rFonts w:ascii="Times New Roman" w:eastAsiaTheme="minorEastAsia" w:hAnsi="Times New Roman" w:cs="Times New Roman"/>
          <w:b/>
          <w:i/>
          <w:sz w:val="24"/>
          <w:szCs w:val="24"/>
        </w:rPr>
        <w:t>View/Variance Decomposition…</w:t>
      </w:r>
      <w:r w:rsidR="007035D0">
        <w:rPr>
          <w:rFonts w:ascii="Times New Roman" w:eastAsiaTheme="minorEastAsia" w:hAnsi="Times New Roman" w:cs="Times New Roman"/>
          <w:sz w:val="24"/>
          <w:szCs w:val="24"/>
        </w:rPr>
        <w:t>.</w:t>
      </w:r>
    </w:p>
    <w:p w14:paraId="3D077251" w14:textId="36FCE80E" w:rsidR="007035D0" w:rsidRDefault="007035D0" w:rsidP="00496BEC">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EXAMPLE 13.3: Quenouille’s hog series example revisited</w:t>
      </w:r>
    </w:p>
    <w:p w14:paraId="1F5F30F7" w14:textId="53C7BF73" w:rsidR="007035D0" w:rsidRDefault="000A6317" w:rsidP="00496BEC">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This example uses the workfile </w:t>
      </w:r>
      <w:r>
        <w:rPr>
          <w:rFonts w:ascii="Arial" w:eastAsiaTheme="minorEastAsia" w:hAnsi="Arial" w:cs="Arial"/>
        </w:rPr>
        <w:t>Quenouille.</w:t>
      </w:r>
      <w:r w:rsidR="00ED74C7">
        <w:rPr>
          <w:rFonts w:ascii="Arial" w:eastAsiaTheme="minorEastAsia" w:hAnsi="Arial" w:cs="Arial"/>
        </w:rPr>
        <w:t>wf1</w:t>
      </w:r>
      <w:r>
        <w:rPr>
          <w:rFonts w:ascii="Times New Roman" w:eastAsiaTheme="minorEastAsia" w:hAnsi="Times New Roman" w:cs="Times New Roman"/>
        </w:rPr>
        <w:t xml:space="preserve">, </w:t>
      </w:r>
      <w:r w:rsidRPr="000A6317">
        <w:rPr>
          <w:rFonts w:ascii="Times New Roman" w:eastAsiaTheme="minorEastAsia" w:hAnsi="Times New Roman" w:cs="Times New Roman"/>
          <w:sz w:val="24"/>
          <w:szCs w:val="24"/>
        </w:rPr>
        <w:t>which contains the series</w:t>
      </w:r>
      <w:r>
        <w:rPr>
          <w:rFonts w:ascii="Times New Roman" w:eastAsiaTheme="minorEastAsia" w:hAnsi="Times New Roman" w:cs="Times New Roman"/>
        </w:rPr>
        <w:t xml:space="preserve"> </w:t>
      </w:r>
      <w:r>
        <w:rPr>
          <w:rFonts w:ascii="Arial" w:eastAsiaTheme="minorEastAsia" w:hAnsi="Arial" w:cs="Arial"/>
        </w:rPr>
        <w:t xml:space="preserve">y1,…,y5 </w:t>
      </w:r>
      <w:r>
        <w:rPr>
          <w:rFonts w:ascii="Times New Roman" w:eastAsiaTheme="minorEastAsia" w:hAnsi="Times New Roman" w:cs="Times New Roman"/>
          <w:sz w:val="24"/>
          <w:szCs w:val="24"/>
        </w:rPr>
        <w:t xml:space="preserve">and the time trend </w:t>
      </w:r>
      <w:r>
        <w:rPr>
          <w:rFonts w:ascii="Arial" w:eastAsiaTheme="minorEastAsia" w:hAnsi="Arial" w:cs="Arial"/>
        </w:rPr>
        <w:t>t</w:t>
      </w:r>
      <w:r>
        <w:rPr>
          <w:rFonts w:ascii="Times New Roman" w:eastAsiaTheme="minorEastAsia" w:hAnsi="Times New Roman" w:cs="Times New Roman"/>
          <w:sz w:val="24"/>
          <w:szCs w:val="24"/>
        </w:rPr>
        <w:t xml:space="preserve">. Graphs of the five series are shown as Figure 13.4. Table 13.2 is constructed by opening </w:t>
      </w:r>
      <w:r>
        <w:rPr>
          <w:rFonts w:ascii="Arial" w:eastAsiaTheme="minorEastAsia" w:hAnsi="Arial" w:cs="Arial"/>
        </w:rPr>
        <w:t xml:space="preserve">y1,…,y5  </w:t>
      </w:r>
      <w:r w:rsidRPr="000A6317">
        <w:rPr>
          <w:rFonts w:ascii="Times New Roman" w:eastAsiaTheme="minorEastAsia" w:hAnsi="Times New Roman" w:cs="Times New Roman"/>
          <w:sz w:val="24"/>
          <w:szCs w:val="24"/>
        </w:rPr>
        <w:t>as a group</w:t>
      </w:r>
      <w:r>
        <w:rPr>
          <w:rFonts w:ascii="Times New Roman" w:eastAsiaTheme="minorEastAsia" w:hAnsi="Times New Roman" w:cs="Times New Roman"/>
          <w:sz w:val="24"/>
          <w:szCs w:val="24"/>
        </w:rPr>
        <w:t xml:space="preserve">, clicking </w:t>
      </w:r>
      <w:r>
        <w:rPr>
          <w:rFonts w:ascii="Times New Roman" w:eastAsiaTheme="minorEastAsia" w:hAnsi="Times New Roman" w:cs="Times New Roman"/>
          <w:b/>
          <w:i/>
          <w:sz w:val="24"/>
          <w:szCs w:val="24"/>
        </w:rPr>
        <w:t>Open VAR…</w:t>
      </w:r>
      <w:r>
        <w:rPr>
          <w:rFonts w:ascii="Times New Roman" w:eastAsiaTheme="minorEastAsia" w:hAnsi="Times New Roman" w:cs="Times New Roman"/>
          <w:sz w:val="24"/>
          <w:szCs w:val="24"/>
        </w:rPr>
        <w:t xml:space="preserve"> and including </w:t>
      </w:r>
      <w:r>
        <w:rPr>
          <w:rFonts w:ascii="Arial" w:eastAsiaTheme="minorEastAsia" w:hAnsi="Arial" w:cs="Arial"/>
        </w:rPr>
        <w:t xml:space="preserve">t </w:t>
      </w:r>
      <w:r>
        <w:rPr>
          <w:rFonts w:ascii="Times New Roman" w:eastAsiaTheme="minorEastAsia" w:hAnsi="Times New Roman" w:cs="Times New Roman"/>
          <w:sz w:val="24"/>
          <w:szCs w:val="24"/>
        </w:rPr>
        <w:t>as an additional exogenous variable. After estimation of the default VAR(2), now with a constant and trend included</w:t>
      </w:r>
      <w:r w:rsidR="00FB3AC5">
        <w:rPr>
          <w:rFonts w:ascii="Times New Roman" w:eastAsiaTheme="minorEastAsia" w:hAnsi="Times New Roman" w:cs="Times New Roman"/>
          <w:sz w:val="24"/>
          <w:szCs w:val="24"/>
        </w:rPr>
        <w:t xml:space="preserve">, </w:t>
      </w:r>
      <w:r w:rsidR="00FB3AC5">
        <w:rPr>
          <w:rFonts w:ascii="Times New Roman" w:hAnsi="Times New Roman" w:cs="Times New Roman"/>
          <w:sz w:val="24"/>
          <w:szCs w:val="24"/>
        </w:rPr>
        <w:t xml:space="preserve">clicking </w:t>
      </w:r>
      <w:r w:rsidR="00FB3AC5">
        <w:rPr>
          <w:rFonts w:ascii="Times New Roman" w:hAnsi="Times New Roman" w:cs="Times New Roman"/>
          <w:b/>
          <w:i/>
          <w:sz w:val="24"/>
          <w:szCs w:val="24"/>
        </w:rPr>
        <w:t>View/Lag Structure/Lag Length Criteria…</w:t>
      </w:r>
      <w:r w:rsidR="00FB3AC5">
        <w:rPr>
          <w:rFonts w:ascii="Times New Roman" w:hAnsi="Times New Roman" w:cs="Times New Roman"/>
          <w:sz w:val="24"/>
          <w:szCs w:val="24"/>
        </w:rPr>
        <w:t xml:space="preserve"> and changing ‘Lags to Include’ to 6 will produce the necessary material for the table.</w:t>
      </w:r>
      <w:r w:rsidR="006A7A61">
        <w:rPr>
          <w:rFonts w:ascii="Times New Roman" w:hAnsi="Times New Roman" w:cs="Times New Roman"/>
          <w:sz w:val="24"/>
          <w:szCs w:val="24"/>
        </w:rPr>
        <w:t xml:space="preserve"> </w:t>
      </w:r>
    </w:p>
    <w:p w14:paraId="57B3C9A6" w14:textId="37C3B6A2" w:rsidR="002B5E61" w:rsidRDefault="002B5E61" w:rsidP="00496BE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fit the VAR(4) model, click </w:t>
      </w:r>
      <w:r>
        <w:rPr>
          <w:rFonts w:ascii="Times New Roman" w:eastAsiaTheme="minorEastAsia" w:hAnsi="Times New Roman" w:cs="Times New Roman"/>
          <w:b/>
          <w:i/>
          <w:sz w:val="24"/>
          <w:szCs w:val="24"/>
        </w:rPr>
        <w:t xml:space="preserve">Estimate </w:t>
      </w:r>
      <w:r>
        <w:rPr>
          <w:rFonts w:ascii="Times New Roman" w:eastAsiaTheme="minorEastAsia" w:hAnsi="Times New Roman" w:cs="Times New Roman"/>
          <w:sz w:val="24"/>
          <w:szCs w:val="24"/>
        </w:rPr>
        <w:t xml:space="preserve"> and change ‘Lag intervals for Endogenous’ to ‘1 4’. The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matrix can then be extracted from the table of estimates: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th column </w:t>
      </w:r>
      <w:r w:rsidR="0081159A">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4</m:t>
            </m:r>
          </m:sub>
        </m:sSub>
      </m:oMath>
      <w:r w:rsidR="0081159A">
        <w:rPr>
          <w:rFonts w:ascii="Times New Roman" w:eastAsiaTheme="minorEastAsia" w:hAnsi="Times New Roman" w:cs="Times New Roman"/>
          <w:sz w:val="24"/>
          <w:szCs w:val="24"/>
        </w:rPr>
        <w:t xml:space="preserve"> being the </w:t>
      </w:r>
      <m:oMath>
        <m:r>
          <w:rPr>
            <w:rFonts w:ascii="Cambria Math" w:eastAsiaTheme="minorEastAsia" w:hAnsi="Cambria Math" w:cs="Times New Roman"/>
            <w:sz w:val="24"/>
            <w:szCs w:val="24"/>
          </w:rPr>
          <m:t>4i</m:t>
        </m:r>
      </m:oMath>
      <w:r w:rsidR="0081159A">
        <w:rPr>
          <w:rFonts w:ascii="Times New Roman" w:eastAsiaTheme="minorEastAsia" w:hAnsi="Times New Roman" w:cs="Times New Roman"/>
          <w:sz w:val="24"/>
          <w:szCs w:val="24"/>
        </w:rPr>
        <w:t xml:space="preserve">th row of the table. Figure 13.5 is obtained by clicking </w:t>
      </w:r>
      <w:r w:rsidR="0081159A">
        <w:rPr>
          <w:rFonts w:ascii="Times New Roman" w:eastAsiaTheme="minorEastAsia" w:hAnsi="Times New Roman" w:cs="Times New Roman"/>
          <w:b/>
          <w:i/>
          <w:sz w:val="24"/>
          <w:szCs w:val="24"/>
        </w:rPr>
        <w:t>View/Residual Tests/Correlogram…</w:t>
      </w:r>
      <w:r w:rsidR="0081159A">
        <w:rPr>
          <w:rFonts w:ascii="Times New Roman" w:eastAsiaTheme="minorEastAsia" w:hAnsi="Times New Roman" w:cs="Times New Roman"/>
          <w:sz w:val="24"/>
          <w:szCs w:val="24"/>
        </w:rPr>
        <w:t xml:space="preserve"> and choosing ‘6’ as the ‘Lags to include’. Figure 13.6 is obtained by clicking </w:t>
      </w:r>
      <w:r w:rsidR="0081159A">
        <w:rPr>
          <w:rFonts w:ascii="Times New Roman" w:eastAsiaTheme="minorEastAsia" w:hAnsi="Times New Roman" w:cs="Times New Roman"/>
          <w:b/>
          <w:i/>
          <w:sz w:val="24"/>
          <w:szCs w:val="24"/>
        </w:rPr>
        <w:t>View/Lag Structure/AR Roots Graph</w:t>
      </w:r>
      <w:r w:rsidR="0081159A">
        <w:rPr>
          <w:rFonts w:ascii="Times New Roman" w:eastAsiaTheme="minorEastAsia" w:hAnsi="Times New Roman" w:cs="Times New Roman"/>
          <w:sz w:val="24"/>
          <w:szCs w:val="24"/>
        </w:rPr>
        <w:t xml:space="preserve">. The Granger causality statistics reported in Table 13.3 are obtained with </w:t>
      </w:r>
      <w:r w:rsidR="0081159A">
        <w:rPr>
          <w:rFonts w:ascii="Times New Roman" w:eastAsiaTheme="minorEastAsia" w:hAnsi="Times New Roman" w:cs="Times New Roman"/>
          <w:b/>
          <w:i/>
          <w:sz w:val="24"/>
          <w:szCs w:val="24"/>
        </w:rPr>
        <w:t>View/Lag Structure/Granger Causality/Block Exogeneity Tests</w:t>
      </w:r>
      <w:r w:rsidR="0081159A">
        <w:rPr>
          <w:rFonts w:ascii="Times New Roman" w:eastAsiaTheme="minorEastAsia" w:hAnsi="Times New Roman" w:cs="Times New Roman"/>
          <w:sz w:val="24"/>
          <w:szCs w:val="24"/>
        </w:rPr>
        <w:t xml:space="preserve">, while the residual correlation matrix reported </w:t>
      </w:r>
      <w:r w:rsidR="007C17D7">
        <w:rPr>
          <w:rFonts w:ascii="Times New Roman" w:eastAsiaTheme="minorEastAsia" w:hAnsi="Times New Roman" w:cs="Times New Roman"/>
          <w:sz w:val="24"/>
          <w:szCs w:val="24"/>
        </w:rPr>
        <w:t>as</w:t>
      </w:r>
      <w:r w:rsidR="0081159A">
        <w:rPr>
          <w:rFonts w:ascii="Times New Roman" w:eastAsiaTheme="minorEastAsia" w:hAnsi="Times New Roman" w:cs="Times New Roman"/>
          <w:sz w:val="24"/>
          <w:szCs w:val="24"/>
        </w:rPr>
        <w:t xml:space="preserve"> Table 13.4 is obtained with </w:t>
      </w:r>
      <w:r w:rsidR="0081159A">
        <w:rPr>
          <w:rFonts w:ascii="Times New Roman" w:eastAsiaTheme="minorEastAsia" w:hAnsi="Times New Roman" w:cs="Times New Roman"/>
          <w:b/>
          <w:i/>
          <w:sz w:val="24"/>
          <w:szCs w:val="24"/>
        </w:rPr>
        <w:t>View/Residuals/Correlation Matrix</w:t>
      </w:r>
      <w:r w:rsidR="0081159A">
        <w:rPr>
          <w:rFonts w:ascii="Times New Roman" w:eastAsiaTheme="minorEastAsia" w:hAnsi="Times New Roman" w:cs="Times New Roman"/>
          <w:sz w:val="24"/>
          <w:szCs w:val="24"/>
        </w:rPr>
        <w:t>.</w:t>
      </w:r>
    </w:p>
    <w:p w14:paraId="6A422669" w14:textId="2034E6C0" w:rsidR="00953EB2" w:rsidRDefault="00FA204E" w:rsidP="00496BE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estimate the SVAR, click </w:t>
      </w:r>
      <w:r>
        <w:rPr>
          <w:rFonts w:ascii="Times New Roman" w:eastAsiaTheme="minorEastAsia" w:hAnsi="Times New Roman" w:cs="Times New Roman"/>
          <w:b/>
          <w:i/>
          <w:sz w:val="24"/>
          <w:szCs w:val="24"/>
        </w:rPr>
        <w:t>Proc/Estimate Structural Factorization…</w:t>
      </w:r>
      <w:r>
        <w:rPr>
          <w:rFonts w:ascii="Times New Roman" w:eastAsiaTheme="minorEastAsia" w:hAnsi="Times New Roman" w:cs="Times New Roman"/>
          <w:sz w:val="24"/>
          <w:szCs w:val="24"/>
        </w:rPr>
        <w:t>. In the ‘Restriction Preset:’ drop-down list select ‘†Unknown variances (B diagonal)’, then click on the pattern matrix A</w:t>
      </w:r>
      <w:r w:rsidR="00D76E3E">
        <w:rPr>
          <w:rFonts w:ascii="Times New Roman" w:eastAsiaTheme="minorEastAsia" w:hAnsi="Times New Roman" w:cs="Times New Roman"/>
          <w:sz w:val="24"/>
          <w:szCs w:val="24"/>
        </w:rPr>
        <w:t xml:space="preserve"> and select ‘Manual’. Edit the matrix to read</w:t>
      </w:r>
    </w:p>
    <w:p w14:paraId="28851BC2" w14:textId="47BB90A1" w:rsidR="00D76E3E" w:rsidRPr="00FA204E" w:rsidRDefault="00D76E3E" w:rsidP="00496BE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NA</m:t>
                        </m:r>
                      </m:e>
                    </m:mr>
                    <m:mr>
                      <m:e>
                        <m:r>
                          <w:rPr>
                            <w:rFonts w:ascii="Cambria Math" w:eastAsiaTheme="minorEastAsia" w:hAnsi="Cambria Math" w:cs="Times New Roman"/>
                            <w:sz w:val="24"/>
                            <w:szCs w:val="24"/>
                          </w:rPr>
                          <m:t>0</m:t>
                        </m:r>
                      </m:e>
                    </m:mr>
                  </m:m>
                </m:e>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e>
                  <m:m>
                    <m:mPr>
                      <m:mcs>
                        <m:mc>
                          <m:mcPr>
                            <m:count m:val="1"/>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
                </m:e>
              </m:mr>
            </m:m>
          </m:e>
        </m:d>
      </m:oMath>
    </w:p>
    <w:p w14:paraId="56B3DFB7" w14:textId="2F1C93E6" w:rsidR="000C6CA7" w:rsidRDefault="00D76E3E" w:rsidP="00496BEC">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and click OK</w:t>
      </w:r>
      <w:r w:rsidR="00480E15">
        <w:rPr>
          <w:rFonts w:ascii="Times New Roman" w:hAnsi="Times New Roman" w:cs="Times New Roman"/>
          <w:sz w:val="24"/>
          <w:szCs w:val="24"/>
        </w:rPr>
        <w:t xml:space="preserve"> to obtain the SVAR estimates</w:t>
      </w:r>
      <w:r w:rsidR="00AE338E">
        <w:rPr>
          <w:rFonts w:ascii="Times New Roman" w:hAnsi="Times New Roman" w:cs="Times New Roman"/>
          <w:sz w:val="24"/>
          <w:szCs w:val="24"/>
        </w:rPr>
        <w:t xml:space="preserve"> and LR test statistic of the six overidentifying restrictions. Figures 13.7 and 13.8, showing the accumulated impulse responses and variance decompositions</w:t>
      </w:r>
      <w:r w:rsidR="00917727">
        <w:rPr>
          <w:rFonts w:ascii="Times New Roman" w:hAnsi="Times New Roman" w:cs="Times New Roman"/>
          <w:sz w:val="24"/>
          <w:szCs w:val="24"/>
        </w:rPr>
        <w:t>,</w:t>
      </w:r>
      <w:r w:rsidR="00AE338E">
        <w:rPr>
          <w:rFonts w:ascii="Times New Roman" w:hAnsi="Times New Roman" w:cs="Times New Roman"/>
          <w:sz w:val="24"/>
          <w:szCs w:val="24"/>
        </w:rPr>
        <w:t xml:space="preserve"> may then be obtained in the usual way. The long-run restrictions may be imposed by again clicking </w:t>
      </w:r>
      <w:r w:rsidR="00AE338E">
        <w:rPr>
          <w:rFonts w:ascii="Times New Roman" w:eastAsiaTheme="minorEastAsia" w:hAnsi="Times New Roman" w:cs="Times New Roman"/>
          <w:b/>
          <w:i/>
          <w:sz w:val="24"/>
          <w:szCs w:val="24"/>
        </w:rPr>
        <w:t>Proc/Estimate Structural Factorization…</w:t>
      </w:r>
      <w:r w:rsidR="00AE338E">
        <w:rPr>
          <w:rFonts w:ascii="Times New Roman" w:eastAsiaTheme="minorEastAsia" w:hAnsi="Times New Roman" w:cs="Times New Roman"/>
          <w:sz w:val="24"/>
          <w:szCs w:val="24"/>
        </w:rPr>
        <w:t>.and then clicking ‘Clear all’. Edit the A matrix to become an identity matrix and then edit the F matrix to be</w:t>
      </w:r>
    </w:p>
    <w:p w14:paraId="70C1CAB7" w14:textId="18A303DA" w:rsidR="00AE338E" w:rsidRPr="00FA204E" w:rsidRDefault="00AE338E" w:rsidP="00AE338E">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NA</m:t>
                        </m:r>
                      </m:e>
                    </m:mr>
                  </m:m>
                </m:e>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mr>
                    <m:mr>
                      <m:e>
                        <m:r>
                          <w:rPr>
                            <w:rFonts w:ascii="Cambria Math" w:eastAsiaTheme="minorEastAsia" w:hAnsi="Cambria Math" w:cs="Times New Roman"/>
                            <w:sz w:val="24"/>
                            <w:szCs w:val="24"/>
                          </w:rPr>
                          <m:t>NA</m:t>
                        </m:r>
                      </m:e>
                    </m:mr>
                    <m:mr>
                      <m:e>
                        <m:r>
                          <w:rPr>
                            <w:rFonts w:ascii="Cambria Math" w:eastAsiaTheme="minorEastAsia" w:hAnsi="Cambria Math" w:cs="Times New Roman"/>
                            <w:sz w:val="24"/>
                            <w:szCs w:val="24"/>
                          </w:rPr>
                          <m:t>0</m:t>
                        </m:r>
                      </m:e>
                    </m:mr>
                  </m:m>
                </m:e>
                <m:e>
                  <m:m>
                    <m:mPr>
                      <m:mcs>
                        <m:mc>
                          <m:mcPr>
                            <m:count m:val="1"/>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r>
                                      <w:rPr>
                                        <w:rFonts w:ascii="Cambria Math" w:eastAsiaTheme="minorEastAsia" w:hAnsi="Cambria Math" w:cs="Times New Roman"/>
                                        <w:sz w:val="24"/>
                                        <w:szCs w:val="24"/>
                                      </w:rPr>
                                      <m:t>0</m:t>
                                    </m:r>
                                  </m:e>
                                </m:mr>
                              </m:m>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NA</m:t>
                                    </m:r>
                                  </m:e>
                                </m:mr>
                              </m:m>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NA</m:t>
                                    </m:r>
                                  </m:e>
                                </m:mr>
                              </m:m>
                            </m:e>
                          </m:mr>
                        </m:m>
                      </m:e>
                    </m:mr>
                  </m:m>
                </m:e>
              </m:mr>
              <m:mr>
                <m:e>
                  <m:r>
                    <w:rPr>
                      <w:rFonts w:ascii="Cambria Math" w:eastAsiaTheme="minorEastAsia" w:hAnsi="Cambria Math" w:cs="Times New Roman"/>
                      <w:sz w:val="24"/>
                      <w:szCs w:val="24"/>
                    </w:rPr>
                    <m:t>NA</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r>
                                <w:rPr>
                                  <w:rFonts w:ascii="Cambria Math" w:eastAsiaTheme="minorEastAsia" w:hAnsi="Cambria Math" w:cs="Times New Roman"/>
                                  <w:sz w:val="24"/>
                                  <w:szCs w:val="24"/>
                                </w:rPr>
                                <m:t>0</m:t>
                              </m:r>
                            </m:e>
                          </m:mr>
                        </m:m>
                      </m:e>
                    </m:mr>
                  </m:m>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NA</m:t>
                              </m:r>
                            </m:e>
                            <m:e>
                              <m:r>
                                <w:rPr>
                                  <w:rFonts w:ascii="Cambria Math" w:eastAsiaTheme="minorEastAsia" w:hAnsi="Cambria Math" w:cs="Times New Roman"/>
                                  <w:sz w:val="24"/>
                                  <w:szCs w:val="24"/>
                                </w:rPr>
                                <m:t>NA</m:t>
                              </m:r>
                            </m:e>
                          </m:mr>
                        </m:m>
                      </m:e>
                    </m:mr>
                  </m:m>
                </m:e>
              </m:mr>
            </m:m>
          </m:e>
        </m:d>
      </m:oMath>
    </w:p>
    <w:p w14:paraId="5D02479F" w14:textId="77777777" w:rsidR="00AE338E" w:rsidRPr="000C6CA7" w:rsidRDefault="00AE338E" w:rsidP="00496BEC">
      <w:pPr>
        <w:spacing w:after="0" w:line="480" w:lineRule="auto"/>
        <w:rPr>
          <w:rFonts w:ascii="Times New Roman" w:hAnsi="Times New Roman" w:cs="Times New Roman"/>
          <w:sz w:val="24"/>
          <w:szCs w:val="24"/>
        </w:rPr>
      </w:pPr>
    </w:p>
    <w:sectPr w:rsidR="00AE338E" w:rsidRPr="000C6CA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03F8" w14:textId="77777777" w:rsidR="00D76E3E" w:rsidRDefault="00D76E3E" w:rsidP="007035D0">
      <w:pPr>
        <w:spacing w:after="0" w:line="240" w:lineRule="auto"/>
      </w:pPr>
      <w:r>
        <w:separator/>
      </w:r>
    </w:p>
  </w:endnote>
  <w:endnote w:type="continuationSeparator" w:id="0">
    <w:p w14:paraId="3814307B" w14:textId="77777777" w:rsidR="00D76E3E" w:rsidRDefault="00D76E3E" w:rsidP="0070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71551"/>
      <w:docPartObj>
        <w:docPartGallery w:val="Page Numbers (Bottom of Page)"/>
        <w:docPartUnique/>
      </w:docPartObj>
    </w:sdtPr>
    <w:sdtEndPr>
      <w:rPr>
        <w:noProof/>
      </w:rPr>
    </w:sdtEndPr>
    <w:sdtContent>
      <w:p w14:paraId="6AE0167E" w14:textId="5CEB6240" w:rsidR="00D76E3E" w:rsidRDefault="00D76E3E">
        <w:pPr>
          <w:pStyle w:val="Footer"/>
          <w:jc w:val="right"/>
        </w:pPr>
        <w:r>
          <w:fldChar w:fldCharType="begin"/>
        </w:r>
        <w:r>
          <w:instrText xml:space="preserve"> PAGE   \* MERGEFORMAT </w:instrText>
        </w:r>
        <w:r>
          <w:fldChar w:fldCharType="separate"/>
        </w:r>
        <w:r w:rsidR="00ED74C7">
          <w:rPr>
            <w:noProof/>
          </w:rPr>
          <w:t>1</w:t>
        </w:r>
        <w:r>
          <w:rPr>
            <w:noProof/>
          </w:rPr>
          <w:fldChar w:fldCharType="end"/>
        </w:r>
      </w:p>
    </w:sdtContent>
  </w:sdt>
  <w:p w14:paraId="71C95A19" w14:textId="77777777" w:rsidR="00D76E3E" w:rsidRDefault="00D76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B91C7" w14:textId="77777777" w:rsidR="00D76E3E" w:rsidRDefault="00D76E3E" w:rsidP="007035D0">
      <w:pPr>
        <w:spacing w:after="0" w:line="240" w:lineRule="auto"/>
      </w:pPr>
      <w:r>
        <w:separator/>
      </w:r>
    </w:p>
  </w:footnote>
  <w:footnote w:type="continuationSeparator" w:id="0">
    <w:p w14:paraId="498FE159" w14:textId="77777777" w:rsidR="00D76E3E" w:rsidRDefault="00D76E3E" w:rsidP="007035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7F"/>
    <w:rsid w:val="000168BC"/>
    <w:rsid w:val="00032D24"/>
    <w:rsid w:val="000A6317"/>
    <w:rsid w:val="000B2D63"/>
    <w:rsid w:val="000C6CA7"/>
    <w:rsid w:val="00140F7F"/>
    <w:rsid w:val="00167E91"/>
    <w:rsid w:val="001A069F"/>
    <w:rsid w:val="001B38D1"/>
    <w:rsid w:val="00210AE1"/>
    <w:rsid w:val="00266D1E"/>
    <w:rsid w:val="002768DC"/>
    <w:rsid w:val="00284A94"/>
    <w:rsid w:val="002A497F"/>
    <w:rsid w:val="002B5E61"/>
    <w:rsid w:val="00322E80"/>
    <w:rsid w:val="00384666"/>
    <w:rsid w:val="003D7EBB"/>
    <w:rsid w:val="0043090A"/>
    <w:rsid w:val="00434315"/>
    <w:rsid w:val="00440793"/>
    <w:rsid w:val="004712DD"/>
    <w:rsid w:val="00480CC6"/>
    <w:rsid w:val="00480E15"/>
    <w:rsid w:val="00483D71"/>
    <w:rsid w:val="00487D3A"/>
    <w:rsid w:val="00496BEC"/>
    <w:rsid w:val="004F7543"/>
    <w:rsid w:val="00510E4F"/>
    <w:rsid w:val="00540F62"/>
    <w:rsid w:val="00547FC9"/>
    <w:rsid w:val="00675858"/>
    <w:rsid w:val="0068141B"/>
    <w:rsid w:val="00683CC7"/>
    <w:rsid w:val="006A7A61"/>
    <w:rsid w:val="007035D0"/>
    <w:rsid w:val="007046D5"/>
    <w:rsid w:val="007062DE"/>
    <w:rsid w:val="007554E4"/>
    <w:rsid w:val="00775EE3"/>
    <w:rsid w:val="00792D3C"/>
    <w:rsid w:val="007A7713"/>
    <w:rsid w:val="007C17D7"/>
    <w:rsid w:val="007D1E52"/>
    <w:rsid w:val="0081159A"/>
    <w:rsid w:val="008332B4"/>
    <w:rsid w:val="008451CB"/>
    <w:rsid w:val="00857AD6"/>
    <w:rsid w:val="00877665"/>
    <w:rsid w:val="008A079D"/>
    <w:rsid w:val="008B4EAD"/>
    <w:rsid w:val="00912CE6"/>
    <w:rsid w:val="00914D5E"/>
    <w:rsid w:val="00917727"/>
    <w:rsid w:val="009318F7"/>
    <w:rsid w:val="009420A9"/>
    <w:rsid w:val="00945C68"/>
    <w:rsid w:val="00953EB2"/>
    <w:rsid w:val="00992BFB"/>
    <w:rsid w:val="009C767D"/>
    <w:rsid w:val="009E7D2E"/>
    <w:rsid w:val="009F527C"/>
    <w:rsid w:val="00A368D4"/>
    <w:rsid w:val="00A9131C"/>
    <w:rsid w:val="00AC3F58"/>
    <w:rsid w:val="00AE338E"/>
    <w:rsid w:val="00B63274"/>
    <w:rsid w:val="00BB6BDD"/>
    <w:rsid w:val="00BC3870"/>
    <w:rsid w:val="00C03BB7"/>
    <w:rsid w:val="00C138FF"/>
    <w:rsid w:val="00C26D3E"/>
    <w:rsid w:val="00C57380"/>
    <w:rsid w:val="00C671B7"/>
    <w:rsid w:val="00C73524"/>
    <w:rsid w:val="00CA7C4A"/>
    <w:rsid w:val="00CC0773"/>
    <w:rsid w:val="00D070AD"/>
    <w:rsid w:val="00D76E3E"/>
    <w:rsid w:val="00D826DF"/>
    <w:rsid w:val="00E213C7"/>
    <w:rsid w:val="00E506D9"/>
    <w:rsid w:val="00E94A12"/>
    <w:rsid w:val="00ED74C7"/>
    <w:rsid w:val="00F1723D"/>
    <w:rsid w:val="00F46D6E"/>
    <w:rsid w:val="00F52015"/>
    <w:rsid w:val="00F617EC"/>
    <w:rsid w:val="00F86DCB"/>
    <w:rsid w:val="00FA204E"/>
    <w:rsid w:val="00FB3AC5"/>
    <w:rsid w:val="00FC001F"/>
    <w:rsid w:val="00FD7F55"/>
    <w:rsid w:val="00FF0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AE1"/>
  <w15:chartTrackingRefBased/>
  <w15:docId w15:val="{BE560144-3064-44BE-B723-053CA4F9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BEC"/>
    <w:rPr>
      <w:color w:val="808080"/>
    </w:rPr>
  </w:style>
  <w:style w:type="paragraph" w:styleId="Header">
    <w:name w:val="header"/>
    <w:basedOn w:val="Normal"/>
    <w:link w:val="HeaderChar"/>
    <w:uiPriority w:val="99"/>
    <w:unhideWhenUsed/>
    <w:rsid w:val="00703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5D0"/>
  </w:style>
  <w:style w:type="paragraph" w:styleId="Footer">
    <w:name w:val="footer"/>
    <w:basedOn w:val="Normal"/>
    <w:link w:val="FooterChar"/>
    <w:uiPriority w:val="99"/>
    <w:unhideWhenUsed/>
    <w:rsid w:val="00703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Mills</dc:creator>
  <cp:keywords/>
  <dc:description/>
  <cp:lastModifiedBy>Terence Mills</cp:lastModifiedBy>
  <cp:revision>3</cp:revision>
  <dcterms:created xsi:type="dcterms:W3CDTF">2018-06-26T10:54:00Z</dcterms:created>
  <dcterms:modified xsi:type="dcterms:W3CDTF">2018-06-27T12:37:00Z</dcterms:modified>
</cp:coreProperties>
</file>