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点金推广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6863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美团外卖点金推广的定义与核心机制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美团外卖点金推广是平台提供的付费推广工具，通过付费竞价提升店铺在用户端的曝光位置，从而获取更多流量和订单。其核心机制为</w:t>
      </w:r>
      <w:r>
        <w:rPr>
          <w:rFonts w:eastAsia="等线" w:ascii="Arial" w:cs="Arial" w:hAnsi="Arial"/>
          <w:b w:val="true"/>
          <w:sz w:val="22"/>
        </w:rPr>
        <w:t>按点击计费（CPC）</w:t>
      </w:r>
      <w:r>
        <w:rPr>
          <w:rFonts w:eastAsia="等线" w:ascii="Arial" w:cs="Arial" w:hAnsi="Arial"/>
          <w:sz w:val="22"/>
        </w:rPr>
        <w:t>，仅当用户点击带有“广告”标识的店铺时才收费，且实际扣费不超过商家出价。推广位置主要分布在APP首页下拉列表及美食分类页的第5、10、15、20、25位等固定广告位，自然排名高于推广位时则不显示广告标识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点金推广的关键操作要素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出价策略：基础出价与定向加价结合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基础出价</w:t>
      </w:r>
      <w:r>
        <w:rPr>
          <w:rFonts w:eastAsia="等线" w:ascii="Arial" w:cs="Arial" w:hAnsi="Arial"/>
          <w:sz w:val="22"/>
        </w:rPr>
        <w:t>：建议设置为平台“良好出价”的三分之一，例如良好出价1.5元时，基础出价0.5元即可，无需盲目高价</w:t>
      </w:r>
      <w:hyperlink r:id="rId6">
        <w:r>
          <w:rPr>
            <w:rFonts w:eastAsia="等线" w:ascii="Arial" w:cs="Arial" w:hAnsi="Arial"/>
            <w:color w:val="3370ff"/>
            <w:sz w:val="22"/>
          </w:rPr>
          <w:t>1</w:t>
        </w:r>
      </w:hyperlink>
      <w:r>
        <w:rPr>
          <w:rFonts w:eastAsia="等线" w:ascii="Arial" w:cs="Arial" w:hAnsi="Arial"/>
          <w:sz w:val="22"/>
        </w:rPr>
        <w:t>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定向加价</w:t>
      </w:r>
      <w:r>
        <w:rPr>
          <w:rFonts w:eastAsia="等线" w:ascii="Arial" w:cs="Arial" w:hAnsi="Arial"/>
          <w:sz w:val="22"/>
        </w:rPr>
        <w:t>：针对不同维度精细化调整，包括：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人群定向</w:t>
      </w:r>
      <w:r>
        <w:rPr>
          <w:rFonts w:eastAsia="等线" w:ascii="Arial" w:cs="Arial" w:hAnsi="Arial"/>
          <w:sz w:val="22"/>
        </w:rPr>
        <w:t>：新客、潜力新客、流失老客等类型加价0.2~0.3元，老客侧重转化，新客侧重扩量。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距离定向</w:t>
      </w:r>
      <w:r>
        <w:rPr>
          <w:rFonts w:eastAsia="等线" w:ascii="Arial" w:cs="Arial" w:hAnsi="Arial"/>
          <w:sz w:val="22"/>
        </w:rPr>
        <w:t>：近距离（2公里内）加价0.3元可提升转化，远距离（5公里以上）加价0.3元可扩展订单范围。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时段定向</w:t>
      </w:r>
      <w:r>
        <w:rPr>
          <w:rFonts w:eastAsia="等线" w:ascii="Arial" w:cs="Arial" w:hAnsi="Arial"/>
          <w:sz w:val="22"/>
        </w:rPr>
        <w:t>：高峰期（如午餐11:00-13:00）启用快速推广模式，以7天为周期优化流量精准度。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门店质量对推广效果的影响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平台根据</w:t>
      </w:r>
      <w:r>
        <w:rPr>
          <w:rFonts w:eastAsia="等线" w:ascii="Arial" w:cs="Arial" w:hAnsi="Arial"/>
          <w:b w:val="true"/>
          <w:sz w:val="22"/>
        </w:rPr>
        <w:t>出价和门店综合质量</w:t>
      </w:r>
      <w:r>
        <w:rPr>
          <w:rFonts w:eastAsia="等线" w:ascii="Arial" w:cs="Arial" w:hAnsi="Arial"/>
          <w:sz w:val="22"/>
        </w:rPr>
        <w:t>综合排序，质量高的店铺在相同出价下优先展示，且实际扣费更低。门店质量核心指标包括：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评分与非异率</w:t>
      </w:r>
      <w:r>
        <w:rPr>
          <w:rFonts w:eastAsia="等线" w:ascii="Arial" w:cs="Arial" w:hAnsi="Arial"/>
          <w:sz w:val="22"/>
        </w:rPr>
        <w:t>：评分4.7-4.9分的店铺推广成本显著低于低分店铺，需优化菜品质量和出餐速度。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点击率与转化率</w:t>
      </w:r>
      <w:r>
        <w:rPr>
          <w:rFonts w:eastAsia="等线" w:ascii="Arial" w:cs="Arial" w:hAnsi="Arial"/>
          <w:sz w:val="22"/>
        </w:rPr>
        <w:t>：通过满减活动、折扣菜品、优质评价等提升用户点击和下单意愿。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实操建议与注意事项</w:t>
      </w:r>
      <w:bookmarkEnd w:id="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推广设置步骤</w:t>
      </w:r>
      <w:bookmarkEnd w:id="5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打开美团外卖商家版，进入“门店运营”-“门店推广”-“点金推广”。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充值账户余额（余额不足无法开启推广），设置基础出价及定向加价规则。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高峰期启用快速推广，非高峰期调整为常规模式，定期查看“推广实况”数据优化出价。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避坑指南</w:t>
      </w:r>
      <w:bookmarkEnd w:id="6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避免盲目加价</w:t>
      </w:r>
      <w:r>
        <w:rPr>
          <w:rFonts w:eastAsia="等线" w:ascii="Arial" w:cs="Arial" w:hAnsi="Arial"/>
          <w:sz w:val="22"/>
        </w:rPr>
        <w:t>：基础出价按“良好出价”三分之一设置，定向加价聚焦高转化维度（如新客、近距离）。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控制预算与订单量</w:t>
      </w:r>
      <w:r>
        <w:rPr>
          <w:rFonts w:eastAsia="等线" w:ascii="Arial" w:cs="Arial" w:hAnsi="Arial"/>
          <w:sz w:val="22"/>
        </w:rPr>
        <w:t>：当出餐能力饱和时，避免过度推广导致卡餐，影响评分和复购。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利用工具辅助</w:t>
      </w:r>
      <w:r>
        <w:rPr>
          <w:rFonts w:eastAsia="等线" w:ascii="Arial" w:cs="Arial" w:hAnsi="Arial"/>
          <w:sz w:val="22"/>
        </w:rPr>
        <w:t>：通过“店客多经营神器”等第三方工具分析出价时段和金额，提升推广效率。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效果评估与优化方向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推广效果可通过“每百元推广带来的营业额”衡量，理想状态下100元推广费用应对应1000元以上营业额。优化方向包括：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人群精细化</w:t>
      </w:r>
      <w:r>
        <w:rPr>
          <w:rFonts w:eastAsia="等线" w:ascii="Arial" w:cs="Arial" w:hAnsi="Arial"/>
          <w:sz w:val="22"/>
        </w:rPr>
        <w:t>：针对流失老客定期召回，潜力新客长期投放。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数据驱动调整</w:t>
      </w:r>
      <w:r>
        <w:rPr>
          <w:rFonts w:eastAsia="等线" w:ascii="Arial" w:cs="Arial" w:hAnsi="Arial"/>
          <w:sz w:val="22"/>
        </w:rPr>
        <w:t>：根据新老客占比、下单转化率等实时调整定向策略，例如老客占比低时加大新客加价。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通过合理设置出价、优化门店质量、结合定向策略，点金推广可成为提升外卖单量的高效工具，但需持续监控数据并灵活调整以平衡投入产出比。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75520">
    <w:lvl>
      <w:numFmt w:val="bullet"/>
      <w:suff w:val="tab"/>
      <w:lvlText w:val="•"/>
      <w:rPr>
        <w:color w:val="3370ff"/>
      </w:rPr>
    </w:lvl>
  </w:abstractNum>
  <w:abstractNum w:abstractNumId="275521">
    <w:lvl>
      <w:numFmt w:val="bullet"/>
      <w:suff w:val="tab"/>
      <w:lvlText w:val="•"/>
      <w:rPr>
        <w:color w:val="3370ff"/>
      </w:rPr>
    </w:lvl>
  </w:abstractNum>
  <w:abstractNum w:abstractNumId="275522">
    <w:lvl>
      <w:numFmt w:val="bullet"/>
      <w:suff w:val="tab"/>
      <w:lvlText w:val="￮"/>
      <w:rPr>
        <w:color w:val="3370ff"/>
      </w:rPr>
    </w:lvl>
  </w:abstractNum>
  <w:abstractNum w:abstractNumId="275523">
    <w:lvl>
      <w:numFmt w:val="bullet"/>
      <w:suff w:val="tab"/>
      <w:lvlText w:val="￮"/>
      <w:rPr>
        <w:color w:val="3370ff"/>
      </w:rPr>
    </w:lvl>
  </w:abstractNum>
  <w:abstractNum w:abstractNumId="275524">
    <w:lvl>
      <w:numFmt w:val="bullet"/>
      <w:suff w:val="tab"/>
      <w:lvlText w:val="￮"/>
      <w:rPr>
        <w:color w:val="3370ff"/>
      </w:rPr>
    </w:lvl>
  </w:abstractNum>
  <w:abstractNum w:abstractNumId="275525">
    <w:lvl>
      <w:numFmt w:val="bullet"/>
      <w:suff w:val="tab"/>
      <w:lvlText w:val="•"/>
      <w:rPr>
        <w:color w:val="3370ff"/>
      </w:rPr>
    </w:lvl>
  </w:abstractNum>
  <w:abstractNum w:abstractNumId="275526">
    <w:lvl>
      <w:numFmt w:val="bullet"/>
      <w:suff w:val="tab"/>
      <w:lvlText w:val="•"/>
      <w:rPr>
        <w:color w:val="3370ff"/>
      </w:rPr>
    </w:lvl>
  </w:abstractNum>
  <w:abstractNum w:abstractNumId="275527">
    <w:lvl>
      <w:start w:val="1"/>
      <w:numFmt w:val="decimal"/>
      <w:suff w:val="tab"/>
      <w:lvlText w:val="%1."/>
      <w:rPr>
        <w:color w:val="3370ff"/>
      </w:rPr>
    </w:lvl>
  </w:abstractNum>
  <w:abstractNum w:abstractNumId="275528">
    <w:lvl>
      <w:start w:val="2"/>
      <w:numFmt w:val="decimal"/>
      <w:suff w:val="tab"/>
      <w:lvlText w:val="%1."/>
      <w:rPr>
        <w:color w:val="3370ff"/>
      </w:rPr>
    </w:lvl>
  </w:abstractNum>
  <w:abstractNum w:abstractNumId="275529">
    <w:lvl>
      <w:start w:val="3"/>
      <w:numFmt w:val="decimal"/>
      <w:suff w:val="tab"/>
      <w:lvlText w:val="%1."/>
      <w:rPr>
        <w:color w:val="3370ff"/>
      </w:rPr>
    </w:lvl>
  </w:abstractNum>
  <w:abstractNum w:abstractNumId="275530">
    <w:lvl>
      <w:numFmt w:val="bullet"/>
      <w:suff w:val="tab"/>
      <w:lvlText w:val="•"/>
      <w:rPr>
        <w:color w:val="3370ff"/>
      </w:rPr>
    </w:lvl>
  </w:abstractNum>
  <w:abstractNum w:abstractNumId="275531">
    <w:lvl>
      <w:numFmt w:val="bullet"/>
      <w:suff w:val="tab"/>
      <w:lvlText w:val="•"/>
      <w:rPr>
        <w:color w:val="3370ff"/>
      </w:rPr>
    </w:lvl>
  </w:abstractNum>
  <w:abstractNum w:abstractNumId="275532">
    <w:lvl>
      <w:numFmt w:val="bullet"/>
      <w:suff w:val="tab"/>
      <w:lvlText w:val="•"/>
      <w:rPr>
        <w:color w:val="3370ff"/>
      </w:rPr>
    </w:lvl>
  </w:abstractNum>
  <w:abstractNum w:abstractNumId="275533">
    <w:lvl>
      <w:numFmt w:val="bullet"/>
      <w:suff w:val="tab"/>
      <w:lvlText w:val="•"/>
      <w:rPr>
        <w:color w:val="3370ff"/>
      </w:rPr>
    </w:lvl>
  </w:abstractNum>
  <w:abstractNum w:abstractNumId="275534">
    <w:lvl>
      <w:numFmt w:val="bullet"/>
      <w:suff w:val="tab"/>
      <w:lvlText w:val="•"/>
      <w:rPr>
        <w:color w:val="3370ff"/>
      </w:rPr>
    </w:lvl>
  </w:abstractNum>
  <w:num w:numId="1">
    <w:abstractNumId w:val="275520"/>
  </w:num>
  <w:num w:numId="2">
    <w:abstractNumId w:val="275521"/>
  </w:num>
  <w:num w:numId="3">
    <w:abstractNumId w:val="275522"/>
  </w:num>
  <w:num w:numId="4">
    <w:abstractNumId w:val="275523"/>
  </w:num>
  <w:num w:numId="5">
    <w:abstractNumId w:val="275524"/>
  </w:num>
  <w:num w:numId="6">
    <w:abstractNumId w:val="275525"/>
  </w:num>
  <w:num w:numId="7">
    <w:abstractNumId w:val="275526"/>
  </w:num>
  <w:num w:numId="8">
    <w:abstractNumId w:val="275527"/>
  </w:num>
  <w:num w:numId="9">
    <w:abstractNumId w:val="275528"/>
  </w:num>
  <w:num w:numId="10">
    <w:abstractNumId w:val="275529"/>
  </w:num>
  <w:num w:numId="11">
    <w:abstractNumId w:val="275530"/>
  </w:num>
  <w:num w:numId="12">
    <w:abstractNumId w:val="275531"/>
  </w:num>
  <w:num w:numId="13">
    <w:abstractNumId w:val="275532"/>
  </w:num>
  <w:num w:numId="14">
    <w:abstractNumId w:val="275533"/>
  </w:num>
  <w:num w:numId="15">
    <w:abstractNumId w:val="27553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ttps://business.sohu.com/a/816482419_121956321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2025-09-27T09:14:06Z</dcterms:created>
  <dc:creator>Apache POI</dc:creator>
</cp:coreProperties>
</file>