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赏金联盟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2957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美团外卖赏金联盟的定义与核心功能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美团外卖的赏金联盟是美团推出的一种</w:t>
      </w:r>
      <w:r>
        <w:rPr>
          <w:rFonts w:eastAsia="等线" w:ascii="Arial" w:cs="Arial" w:hAnsi="Arial"/>
          <w:b w:val="true"/>
          <w:sz w:val="22"/>
        </w:rPr>
        <w:t>营销推广工具</w:t>
      </w:r>
      <w:r>
        <w:rPr>
          <w:rFonts w:eastAsia="等线" w:ascii="Arial" w:cs="Arial" w:hAnsi="Arial"/>
          <w:sz w:val="22"/>
        </w:rPr>
        <w:t>，主要面向商家和推广者，通过优惠券、佣金奖励等形式实现双向激励。对于商家而言，可借助该工具吸引消费者下单以提升销售额；对于推广者（如个人或企业），则能通过推广优惠券或商品链接获取佣金分成。其核心逻辑与淘宝联盟等CPS（按成交付费）模式类似，但聚焦于美团外卖的本地化消费场景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赏金联盟的参与主体与作用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商家端：提升曝光与销量的营销手段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吸引消费者</w:t>
      </w:r>
      <w:r>
        <w:rPr>
          <w:rFonts w:eastAsia="等线" w:ascii="Arial" w:cs="Arial" w:hAnsi="Arial"/>
          <w:sz w:val="22"/>
        </w:rPr>
        <w:t>：商家可自主设定佣金比例或优惠力度，通过发放优惠券吸引用户下单，尤其适合新品推广或冲单量需求。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低成本获客</w:t>
      </w:r>
      <w:r>
        <w:rPr>
          <w:rFonts w:eastAsia="等线" w:ascii="Arial" w:cs="Arial" w:hAnsi="Arial"/>
          <w:sz w:val="22"/>
        </w:rPr>
        <w:t>：采用“成交后收费”模式，即仅在用户使用推广的优惠券完成消费时，商家才需支付佣金，降低营销风险。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增加流量入口</w:t>
      </w:r>
      <w:r>
        <w:rPr>
          <w:rFonts w:eastAsia="等线" w:ascii="Arial" w:cs="Arial" w:hAnsi="Arial"/>
          <w:sz w:val="22"/>
        </w:rPr>
        <w:t>：参与联盟的商品或优惠券会通过推广者渠道（如社群、自媒体）触达更多潜在用户，间接提升平台内的曝光权重。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推广者端：佣金激励的合作模式</w:t>
      </w:r>
      <w:bookmarkEnd w:id="3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个人与企业均可参与</w:t>
      </w:r>
      <w:r>
        <w:rPr>
          <w:rFonts w:eastAsia="等线" w:ascii="Arial" w:cs="Arial" w:hAnsi="Arial"/>
          <w:sz w:val="22"/>
        </w:rPr>
        <w:t>：个人推广者可通过“外卖美天赚”等子平台加入，无需企业资质，推广成功后按订单金额或固定比例获得佣金；企业推广者则可通过美团联盟或分销联盟接入，支持全品类推广并获取更高权限。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佣金结算规则</w:t>
      </w:r>
      <w:r>
        <w:rPr>
          <w:rFonts w:eastAsia="等线" w:ascii="Arial" w:cs="Arial" w:hAnsi="Arial"/>
          <w:sz w:val="22"/>
        </w:rPr>
        <w:t>：佣金与推广效果直接挂钩，例如推广外卖券包后，用户核销订单即可获得对应分成。但需注意，若订单出现退款或被判定为“自购自销”，佣金可能失效。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赏金联盟的潜在风险与注意事项</w:t>
      </w:r>
      <w:bookmarkEnd w:id="4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佣金结算争议</w:t>
      </w:r>
      <w:r>
        <w:rPr>
          <w:rFonts w:eastAsia="等线" w:ascii="Arial" w:cs="Arial" w:hAnsi="Arial"/>
          <w:sz w:val="22"/>
        </w:rPr>
        <w:t>：部分推广者反馈存在佣金被单方面判定失效、结算规则不透明等问题，例如大额订单被标记为“违规”却无法获取具体原因，需在推广前仔细阅读合作条款。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商家成本控制</w:t>
      </w:r>
      <w:r>
        <w:rPr>
          <w:rFonts w:eastAsia="等线" w:ascii="Arial" w:cs="Arial" w:hAnsi="Arial"/>
          <w:sz w:val="22"/>
        </w:rPr>
        <w:t>：高返利活动（如“爆单活动”）可能导致短期销量激增，但需警惕佣金比例过高导致利润亏损，建议结合自身商品毛利合理设置优惠。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个人推广门槛</w:t>
      </w:r>
      <w:r>
        <w:rPr>
          <w:rFonts w:eastAsia="等线" w:ascii="Arial" w:cs="Arial" w:hAnsi="Arial"/>
          <w:sz w:val="22"/>
        </w:rPr>
        <w:t>：企业推广者需具备开发能力并提交资质，个人推广者则需通过指定平台（如“美团福利宝”“外卖美天赚”）操作，且部分功能（如全品类推广）仅对企业开放。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与其他美团联盟产品的区别</w:t>
      </w:r>
      <w:bookmarkEnd w:id="5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58pt;mso-width-percent:0;mso-height-percent:0;mso-width-percent:0;mso-height-percent:0" type="#_x0000_t75" o:ole="">
            <v:imagedata r:id="rId7" o:title=""/>
          </v:shape>
          <o:OLEObject DrawAspect="Icon" ObjectID="_1718471219" ProgID="Excel.Sheet.12" ShapeID="_x0000_i1025" Type="Embed" r:id="rId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通过上述机制，赏金联盟实现了商家、推广者与消费者的三方联动，但实际参与时需注意规则细节以避免纠纷。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09884">
    <w:lvl>
      <w:numFmt w:val="bullet"/>
      <w:suff w:val="tab"/>
      <w:lvlText w:val="•"/>
      <w:rPr>
        <w:color w:val="3370ff"/>
      </w:rPr>
    </w:lvl>
  </w:abstractNum>
  <w:abstractNum w:abstractNumId="409885">
    <w:lvl>
      <w:numFmt w:val="bullet"/>
      <w:suff w:val="tab"/>
      <w:lvlText w:val="•"/>
      <w:rPr>
        <w:color w:val="3370ff"/>
      </w:rPr>
    </w:lvl>
  </w:abstractNum>
  <w:abstractNum w:abstractNumId="409886">
    <w:lvl>
      <w:numFmt w:val="bullet"/>
      <w:suff w:val="tab"/>
      <w:lvlText w:val="•"/>
      <w:rPr>
        <w:color w:val="3370ff"/>
      </w:rPr>
    </w:lvl>
  </w:abstractNum>
  <w:abstractNum w:abstractNumId="409887">
    <w:lvl>
      <w:numFmt w:val="bullet"/>
      <w:suff w:val="tab"/>
      <w:lvlText w:val="•"/>
      <w:rPr>
        <w:color w:val="3370ff"/>
      </w:rPr>
    </w:lvl>
  </w:abstractNum>
  <w:abstractNum w:abstractNumId="409888">
    <w:lvl>
      <w:numFmt w:val="bullet"/>
      <w:suff w:val="tab"/>
      <w:lvlText w:val="•"/>
      <w:rPr>
        <w:color w:val="3370ff"/>
      </w:rPr>
    </w:lvl>
  </w:abstractNum>
  <w:abstractNum w:abstractNumId="409889">
    <w:lvl>
      <w:numFmt w:val="bullet"/>
      <w:suff w:val="tab"/>
      <w:lvlText w:val="•"/>
      <w:rPr>
        <w:color w:val="3370ff"/>
      </w:rPr>
    </w:lvl>
  </w:abstractNum>
  <w:abstractNum w:abstractNumId="409890">
    <w:lvl>
      <w:numFmt w:val="bullet"/>
      <w:suff w:val="tab"/>
      <w:lvlText w:val="•"/>
      <w:rPr>
        <w:color w:val="3370ff"/>
      </w:rPr>
    </w:lvl>
  </w:abstractNum>
  <w:abstractNum w:abstractNumId="409891">
    <w:lvl>
      <w:numFmt w:val="bullet"/>
      <w:suff w:val="tab"/>
      <w:lvlText w:val="•"/>
      <w:rPr>
        <w:color w:val="3370ff"/>
      </w:rPr>
    </w:lvl>
  </w:abstractNum>
  <w:num w:numId="1">
    <w:abstractNumId w:val="409884"/>
  </w:num>
  <w:num w:numId="2">
    <w:abstractNumId w:val="409885"/>
  </w:num>
  <w:num w:numId="3">
    <w:abstractNumId w:val="409886"/>
  </w:num>
  <w:num w:numId="4">
    <w:abstractNumId w:val="409887"/>
  </w:num>
  <w:num w:numId="5">
    <w:abstractNumId w:val="409888"/>
  </w:num>
  <w:num w:numId="6">
    <w:abstractNumId w:val="409889"/>
  </w:num>
  <w:num w:numId="7">
    <w:abstractNumId w:val="409890"/>
  </w:num>
  <w:num w:numId="8">
    <w:abstractNumId w:val="40989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embeddings/Microsoft_Excel_Worksheet1.xlsx" Type="http://schemas.openxmlformats.org/officeDocument/2006/relationships/package"/><Relationship Id="rId7" Target="media/image2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2025-09-27T09:15:37Z</dcterms:created>
  <dc:creator>Apache POI</dc:creator>
</cp:coreProperties>
</file>