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32"/>
        </w:rPr>
        <w:t>ETF量化交易数据源深度研究报告</w:t>
      </w:r>
    </w:p>
    <w:p/>
    <w:p>
      <w:pPr>
        <w:pStyle w:val="Heading2"/>
      </w:pPr>
      <w:r>
        <w:rPr>
          <w:rFonts w:ascii="黑体" w:hAnsi="黑体" w:eastAsia="黑体"/>
          <w:sz w:val="28"/>
        </w:rPr>
        <w:t>执行摘要</w:t>
      </w:r>
    </w:p>
    <w:p/>
    <w:p>
      <w:r>
        <w:rPr>
          <w:rFonts w:ascii="宋体" w:hAnsi="宋体" w:eastAsia="宋体"/>
          <w:sz w:val="22"/>
        </w:rPr>
        <w:t>ETF（交易型开放式指数基金）作为连接一二级市场的金融工具，其量化交易策略的成功实施高度依赖于数据源的质量、覆盖范围和时效性。本报告系统梳理了适用于ETF量化交易的多层次数据源体系，涵盖中国境内与海外主要市场、免费与付费数据渠道、行情与一级市场特有数据类型，并深入对比分析了各数据源在覆盖范围、数据准确性、传输延迟及成本结构方面的差异。研究发现，当前ETF量化交易数据生态已形成以交易所公开数据为基础、以专业金融数据商为核心、以开源社区为补充的多层次供给格局。对于专注于ETF套利、Alpha因子挖掘和风险管理的机构投资者，建议采用"Wind/同花顺+交易所直连+自建数据校验"的混合架构模式。</w:t>
      </w:r>
    </w:p>
    <w:p/>
    <w:p>
      <w:r>
        <w:rPr>
          <w:rFonts w:ascii="宋体" w:hAnsi="宋体" w:eastAsia="宋体"/>
          <w:sz w:val="22"/>
        </w:rPr>
        <w:t>---</w:t>
      </w:r>
    </w:p>
    <w:p/>
    <w:p>
      <w:pPr>
        <w:pStyle w:val="Heading2"/>
      </w:pPr>
      <w:r>
        <w:rPr>
          <w:rFonts w:ascii="黑体" w:hAnsi="黑体" w:eastAsia="黑体"/>
          <w:sz w:val="28"/>
        </w:rPr>
        <w:t>一、引言</w:t>
      </w:r>
    </w:p>
    <w:p/>
    <w:p>
      <w:pPr>
        <w:pStyle w:val="Heading3"/>
      </w:pPr>
      <w:r>
        <w:rPr>
          <w:rFonts w:ascii="黑体" w:hAnsi="黑体" w:eastAsia="黑体"/>
          <w:sz w:val="24"/>
        </w:rPr>
        <w:t>1.1 研究背景与目的</w:t>
      </w:r>
    </w:p>
    <w:p/>
    <w:p>
      <w:r>
        <w:rPr>
          <w:rFonts w:ascii="宋体" w:hAnsi="宋体" w:eastAsia="宋体"/>
          <w:sz w:val="22"/>
        </w:rPr>
        <w:t>ETF作为全球发展最快的金融产品之一，其独特的实物申购赎回机制使其成为量化交易的重要载体。与普通股票不同，ETF同时存在二级市场交易和一级市场申购赎回两个维度，这决定了ETF量化策略需要的数据类型远比单一股票丰富。从套利策略所需的IOPV（盘中估算净值）与二级市场价格偏差监测，到组合复制所需的持仓结构和成分股权重数据，再到资金流分析所需的份额变化数据，ETF量化交易对数据的需求呈现出多维度、高频化、专业化的特征。</w:t>
      </w:r>
    </w:p>
    <w:p/>
    <w:p>
      <w:r>
        <w:rPr>
          <w:rFonts w:ascii="宋体" w:hAnsi="宋体" w:eastAsia="宋体"/>
          <w:sz w:val="22"/>
        </w:rPr>
        <w:t>本研究旨在为量化交易机构、数据工程师和投资研究人员提供一份系统性的ETF数据源指南，帮助其在丰富的数据供给格局中选择最适合自身需求的数据解决方案。研究覆盖范围包括中国境内A股ETF、债券ETF、商品ETF及跨境ETF，同时也涵盖海外主要市场的ETF产品。</w:t>
      </w:r>
    </w:p>
    <w:p/>
    <w:p>
      <w:pPr>
        <w:pStyle w:val="Heading3"/>
      </w:pPr>
      <w:r>
        <w:rPr>
          <w:rFonts w:ascii="黑体" w:hAnsi="黑体" w:eastAsia="黑体"/>
          <w:sz w:val="24"/>
        </w:rPr>
        <w:t>1.2 ETF数据需求特征分析</w:t>
      </w:r>
    </w:p>
    <w:p/>
    <w:p>
      <w:r>
        <w:rPr>
          <w:rFonts w:ascii="宋体" w:hAnsi="宋体" w:eastAsia="宋体"/>
          <w:sz w:val="22"/>
        </w:rPr>
        <w:t>ETF量化交易的独特性使其对数据源有着区别于普通股票量化策略的特殊需求。首先，ETF具有双重定价机制——二级市场价格由市场供需决定，而一级市场净值则由成分股价格实时计算。这种双重定价产生了套利机会，也产生了对IOPV数据和PCF（申购赎回清单）数据的刚性需求。其次，ETF的实物申赎特性要求投资者具备完整的成分股信息，包括现金替代规则、溢价比例设定等细节数据。再次，ETF的流动性来源具有层次性——既有二级市场的日内交易数据，也有一级市场的申赎数据，二者共同构成了完整的流动性分析框架。</w:t>
      </w:r>
    </w:p>
    <w:p/>
    <w:p>
      <w:r>
        <w:rPr>
          <w:rFonts w:ascii="宋体" w:hAnsi="宋体" w:eastAsia="宋体"/>
          <w:sz w:val="22"/>
        </w:rPr>
        <w:t>---</w:t>
      </w:r>
    </w:p>
    <w:p/>
    <w:p>
      <w:pPr>
        <w:pStyle w:val="Heading2"/>
      </w:pPr>
      <w:r>
        <w:rPr>
          <w:rFonts w:ascii="黑体" w:hAnsi="黑体" w:eastAsia="黑体"/>
          <w:sz w:val="28"/>
        </w:rPr>
        <w:t>二、中国市场ETF数据源</w:t>
      </w:r>
    </w:p>
    <w:p/>
    <w:p>
      <w:pPr>
        <w:pStyle w:val="Heading3"/>
      </w:pPr>
      <w:r>
        <w:rPr>
          <w:rFonts w:ascii="黑体" w:hAnsi="黑体" w:eastAsia="黑体"/>
          <w:sz w:val="24"/>
        </w:rPr>
        <w:t>2.1 免费数据源体系</w:t>
      </w:r>
    </w:p>
    <w:p/>
    <w:p>
      <w:r>
        <w:rPr>
          <w:rFonts w:ascii="宋体" w:hAnsi="宋体" w:eastAsia="宋体"/>
          <w:sz w:val="22"/>
        </w:rPr>
        <w:t>中国市场的ETF免费数据源主要包括交易所官方披露平台、行业协会公开数据以及开源数据社区三个层次。这些免费渠道构成了量化研究的基础数据供给，对于初步验证策略和构建原型系统具有重要价值。</w:t>
      </w:r>
    </w:p>
    <w:p/>
    <w:p>
      <w:r>
        <w:rPr>
          <w:rFonts w:ascii="宋体" w:hAnsi="宋体" w:eastAsia="宋体"/>
          <w:sz w:val="22"/>
        </w:rPr>
        <w:t>上海证券交易所（SSE） 作为国内最大的ETF上市交易所，提供了完整的PCF清单公开披露服务。投资者可通过上交所官方网站实时获取所有在上海上市的ETF产品的申购赎回清单数据，包括成分股代码、数量、现金替代标志、溢价比例等核心字段。根据上交所规则，PCF清单通常在每个交易日上午开盘前通过交易所官方渠道发布，确保投资者在集合竞价阶段即可获取当日完整的一篮子股票信息。上交所的数据披露格式规范，采用结构化文本格式，便于程序化解析。对于量化策略而言，上交所PCF数据的价值在于其提供了ETF创设的核心参数，这些参数直接决定了ETF一级市场的套利边界。</w:t>
      </w:r>
    </w:p>
    <w:p/>
    <w:p>
      <w:r>
        <w:rPr>
          <w:rFonts w:ascii="宋体" w:hAnsi="宋体" w:eastAsia="宋体"/>
          <w:sz w:val="22"/>
        </w:rPr>
        <w:t>深圳证券交易所（SZSE） 同样提供了全面的ETF数据披露服务，其与上交所的数据结构类似但在格式上存在差异。深交所PCF清单采用XML格式发布，文件名规则为`pcf_&lt;ETF代码&gt;_YYYYMMDD.xml`，这种格式变化要求量化系统具备更强的格式解析能力。深交所数据披露的及时性和准确性在国内处于领先水平，其ETF产品线覆盖了创业板、科创板等创新板块，为量化策略提供了丰富的标的选择。</w:t>
      </w:r>
    </w:p>
    <w:p/>
    <w:p>
      <w:r>
        <w:rPr>
          <w:rFonts w:ascii="宋体" w:hAnsi="宋体" w:eastAsia="宋体"/>
          <w:sz w:val="22"/>
        </w:rPr>
        <w:t>中证指数有限公司 提供了ETF跟踪指数的完整信息，包括成分股权重、调整公告、维护规则等数据。这些数据对于构建ETF复制组合、计算跟踪误差和进行因子分析至关重要。指数公司数据可通过其官方网站以结构化方式获取，覆盖了沪深主要宽基指数和行业主题指数。</w:t>
      </w:r>
    </w:p>
    <w:p/>
    <w:p>
      <w:r>
        <w:rPr>
          <w:rFonts w:ascii="宋体" w:hAnsi="宋体" w:eastAsia="宋体"/>
          <w:sz w:val="22"/>
        </w:rPr>
        <w:t>开源数据社区 已成为国内ETF数据生态的重要补充。以AkShare为代表的开源金融数据库，通过聚合东方财富、同花顺、新浪财经等多个数据源，为个人投资者和小型机构提供了便捷的数据获取途径。AkShare的ETF数据接口支持历史K线提取、实时行情订阅、基金净值查询等功能，其开源特性使得用户可以审计数据处理逻辑，降低了数据黑箱风险。TuShare作为国内最早的Python金融数据接口之一，提供了稳定可靠的ETF日线数据服务，其实名注册机制虽然增加了使用门槛，但也保证了服务质量的稳定性。Baostock作为免费开源的A股数据源，同样支持ETF历史行情查询，但其对ETF历史数据的覆盖存在局限性，部分ETF仅返回近期数十条记录。</w:t>
      </w:r>
    </w:p>
    <w:p/>
    <w:p>
      <w:r>
        <w:rPr>
          <w:rFonts w:ascii="宋体" w:hAnsi="宋体" w:eastAsia="宋体"/>
          <w:sz w:val="22"/>
        </w:rPr>
        <w:t>值得注意的是，免费数据源存在几个固有局限需要量化策略设计者充分认识。数据延迟方面，免费数据通常存在分钟级到小时级的延迟，无法满足日内高频交易策略的需求。数据完整性方面，免费渠道通常仅提供基础行情数据，缺乏IOPV实时数据、PCF清单的完整版本以及一级市场申赎明细。服务质量方面，开源社区数据源的稳定性不如专业付费渠道，在市场波动剧烈时期可能出现服务中断。</w:t>
      </w:r>
    </w:p>
    <w:p/>
    <w:p>
      <w:pPr>
        <w:pStyle w:val="Heading3"/>
      </w:pPr>
      <w:r>
        <w:rPr>
          <w:rFonts w:ascii="黑体" w:hAnsi="黑体" w:eastAsia="黑体"/>
          <w:sz w:val="24"/>
        </w:rPr>
        <w:t>2.2 付费数据源体系</w:t>
      </w:r>
    </w:p>
    <w:p/>
    <w:p>
      <w:r>
        <w:rPr>
          <w:rFonts w:ascii="宋体" w:hAnsi="宋体" w:eastAsia="宋体"/>
          <w:sz w:val="22"/>
        </w:rPr>
        <w:t>付费数据源代表了中国金融数据市场的主流供给，其在数据覆盖范围、准确性、时效性和增值服务方面均显著优于免费渠道。国内主流的ETF付费数据提供商包括Wind资讯（同花顺iFind）、东方财富Choice、聚源数据以及通达信等，各家在ETF数据领域各有专长。</w:t>
      </w:r>
    </w:p>
    <w:p/>
    <w:p>
      <w:r>
        <w:rPr>
          <w:rFonts w:ascii="宋体" w:hAnsi="宋体" w:eastAsia="宋体"/>
          <w:sz w:val="22"/>
        </w:rPr>
        <w:t>Wind资讯（万得） 被业界公认为国内金融数据的行业标准，其ETF数据覆盖范围和数据质量均处于领先地位。Wind的ETF数据库涵盖了境内所有上市ETF的完整信息，包括二级市场行情数据、一级市场净值数据、申购赎回清单、成分股持仓结构等。在数据深度方面，Wind提供了盘中实时IOPV数据、历史IOPV序列、折溢价率历史追踪等高价值数据，这些数据对于ETF套利策略和做市商业务至关重要。Wind数据接口支持多种接入方式，包括COM接口、Python API、Excel插件等，便于量化系统集成。在数据时效性方面，Wind实现了交易所数据的实时推送，端到端延迟可控制在百毫秒级别。然而，Wind的年度订阅费用在数万到数十万元级别，对个人投资者和初创型量化团队构成了较高的成本门槛。</w:t>
      </w:r>
    </w:p>
    <w:p/>
    <w:p>
      <w:r>
        <w:rPr>
          <w:rFonts w:ascii="宋体" w:hAnsi="宋体" w:eastAsia="宋体"/>
          <w:sz w:val="22"/>
        </w:rPr>
        <w:t>同花顺iFind 作为面向机构投资者的专业终端，在ETF数据领域提供了全面而专业的服务。iFind的数据覆盖了境内所有ETF产品的完整生命周期数据，从ETF上市首日至今的行情数据完整保存。在特色数据方面，iFind提供了ETF资金流数据、份额变化数据、持有人结构数据等增值信息，这些数据对于分析ETF市场情绪和资金流向具有重要价值。iFind的数据接口支持Python、C#、Java等多种语言，其实时数据推送机制可满足日内交易策略的需求。在成本方面，iFind的定价策略比Wind更为灵活，对中小机构的可及性相对较高。</w:t>
      </w:r>
    </w:p>
    <w:p/>
    <w:p>
      <w:r>
        <w:rPr>
          <w:rFonts w:ascii="宋体" w:hAnsi="宋体" w:eastAsia="宋体"/>
          <w:sz w:val="22"/>
        </w:rPr>
        <w:t>东方财富Choice 凭借东方财富网在互联网金融领域的积累，提供了具有特色的ETF数据服务。Choice数据的优势在于其数据可视化功能和用户友好的查询界面，降低了数据分析和策略研究的门槛。在ETF数据覆盖方面，Choice提供了完整的上市ETF清单、实时行情、历史K线、基金净值等基础数据，同时在资金流分析、成分股权重变化跟踪等增值服务方面形成了差异化竞争力。Choice的数据接口支持RESTful API访问，便于量化团队快速集成到交易系统中。</w:t>
      </w:r>
    </w:p>
    <w:p/>
    <w:p>
      <w:r>
        <w:rPr>
          <w:rFonts w:ascii="宋体" w:hAnsi="宋体" w:eastAsia="宋体"/>
          <w:sz w:val="22"/>
        </w:rPr>
        <w:t>聚源数据 作为专注于国内金融数据的供应商，在ETF数据领域提供了专业而精准的数据服务。聚源的竞争优势在于其数据的清洗质量和校验机制，确保了高频率数据更新的准确性。聚源提供的ETF数据产品包括基础行情数据、基金净值数据、指数数据等常规品类，同时在数据深度加工方面形成了独特优势。对于需要高质量历史数据进行回溯测试的量化团队，聚源的历史数据完整性和数据质量是其重要卖点。</w:t>
      </w:r>
    </w:p>
    <w:p/>
    <w:p>
      <w:r>
        <w:rPr>
          <w:rFonts w:ascii="宋体" w:hAnsi="宋体" w:eastAsia="宋体"/>
          <w:sz w:val="22"/>
        </w:rPr>
        <w:t>选择付费数据源时，量化团队需要综合评估以下因素：数据覆盖范围是否满足策略需求，数据延迟是否满足策略频率要求，数据接口是否便于系统集成，以及成本预算是否在可承受范围内。对于专注于ETF套利和Alpha策略的机构，建议优先考虑Wind或同花顺iFind等专业覆盖度高的数据源；对于以研究为主、数据量需求相对有限的团队，东方财富Choice和聚源提供了性价比更高的选择。</w:t>
      </w:r>
    </w:p>
    <w:p/>
    <w:p>
      <w:pPr>
        <w:pStyle w:val="Heading3"/>
      </w:pPr>
      <w:r>
        <w:rPr>
          <w:rFonts w:ascii="黑体" w:hAnsi="黑体" w:eastAsia="黑体"/>
          <w:sz w:val="24"/>
        </w:rPr>
        <w:t>2.3 券商研报与内部数据</w:t>
      </w:r>
    </w:p>
    <w:p/>
    <w:p>
      <w:r>
        <w:rPr>
          <w:rFonts w:ascii="宋体" w:hAnsi="宋体" w:eastAsia="宋体"/>
          <w:sz w:val="22"/>
        </w:rPr>
        <w:t>券商研究部门发布的ETF相关报告构成了独特的数据来源，这类数据虽然在时效性上不如实时行情数据，但在研究深度和定性分析方面具有不可替代的价值。券商研报涵盖了ETF产品分析、指数研究、市场展望、套利机会点评等内容，为量化策略的因子构建和逻辑验证提供了重要参考。</w:t>
      </w:r>
    </w:p>
    <w:p/>
    <w:p>
      <w:r>
        <w:rPr>
          <w:rFonts w:ascii="宋体" w:hAnsi="宋体" w:eastAsia="宋体"/>
          <w:sz w:val="22"/>
        </w:rPr>
        <w:t>头部券商如国泰君安、中金公司、中信证券等的研究部门定期发布ETF相关专题报告，这些报告通常包含对ETF市场发展趋势的判断、对特定产品配置价值的评估以及对套利机会的定性分析。对于量化策略开发者而言，券商研报的价值在于补充了市场情绪数据、机构观点数据等难以量化的信息维度，有助于构建更加全面的决策模型。</w:t>
      </w:r>
    </w:p>
    <w:p/>
    <w:p>
      <w:r>
        <w:rPr>
          <w:rFonts w:ascii="宋体" w:hAnsi="宋体" w:eastAsia="宋体"/>
          <w:sz w:val="22"/>
        </w:rPr>
        <w:t>部分券商提供了专业的数据服务终端，如国泰君安的富易、招商证券的智远一户通等，这些终端不仅提供标准行情数据，还整合了券商研究所的独家数据产品。对于在这些券商开户的机构客户，部分数据服务可能以较低成本或免费方式提供。</w:t>
      </w:r>
    </w:p>
    <w:p/>
    <w:p>
      <w:r>
        <w:rPr>
          <w:rFonts w:ascii="宋体" w:hAnsi="宋体" w:eastAsia="宋体"/>
          <w:sz w:val="22"/>
        </w:rPr>
        <w:t>---</w:t>
      </w:r>
    </w:p>
    <w:p/>
    <w:p>
      <w:pPr>
        <w:pStyle w:val="Heading2"/>
      </w:pPr>
      <w:r>
        <w:rPr>
          <w:rFonts w:ascii="黑体" w:hAnsi="黑体" w:eastAsia="黑体"/>
          <w:sz w:val="28"/>
        </w:rPr>
        <w:t>三、海外市场ETF数据源</w:t>
      </w:r>
    </w:p>
    <w:p/>
    <w:p>
      <w:pPr>
        <w:pStyle w:val="Heading3"/>
      </w:pPr>
      <w:r>
        <w:rPr>
          <w:rFonts w:ascii="黑体" w:hAnsi="黑体" w:eastAsia="黑体"/>
          <w:sz w:val="24"/>
        </w:rPr>
        <w:t>3.1 国际金融数据商</w:t>
      </w:r>
    </w:p>
    <w:p/>
    <w:p>
      <w:r>
        <w:rPr>
          <w:rFonts w:ascii="宋体" w:hAnsi="宋体" w:eastAsia="宋体"/>
          <w:sz w:val="22"/>
        </w:rPr>
        <w:t>海外市场的ETF数据源生态以Bloomberg和Refinitiv两大巨头为核心，形成了对全球ETF市场的高度覆盖。这两家机构的数据服务涵盖了从实时行情到历史回溯、从基础数据到高端分析的全方位需求，是国际量化机构的标准配置。</w:t>
      </w:r>
    </w:p>
    <w:p/>
    <w:p>
      <w:r>
        <w:rPr>
          <w:rFonts w:ascii="宋体" w:hAnsi="宋体" w:eastAsia="宋体"/>
          <w:sz w:val="22"/>
        </w:rPr>
        <w:t>Bloomberg彭博终端 是全球金融信息行业的领导者，其ETF数据服务覆盖了全球主要市场的ETF产品。在数据覆盖方面，Bloomberg的ETF数据库收录了超过15000只ETF的完整信息，包括美国、欧洲、亚太等主要市场的产品。在数据深度方面，Bloomberg提供了持仓数据、资金流数据、期权数据、衍生品数据等多维度信息，满足了量化策略对数据丰富性的需求。Bloomberg的ETF特定功能包括ETF PCF清单查询、IOPV实时追踪、套利机会监测、折溢价分析等，这些功能对于ETF专业策略至关重要。在数据接口方面，Bloomberg提供的数据终端和API服务支持程序化访问，便于量化系统集成。Bloomberg终端的年订阅费用较高，通常在每年两万美元以上，主要面向机构客户和专业投资者。</w:t>
      </w:r>
    </w:p>
    <w:p/>
    <w:p>
      <w:r>
        <w:rPr>
          <w:rFonts w:ascii="宋体" w:hAnsi="宋体" w:eastAsia="宋体"/>
          <w:sz w:val="22"/>
        </w:rPr>
        <w:t>Refinitiv（原汤森路透金融与风险业务部） 是另一家全球性金融数据和基础设施提供商，其Eikon平台在ETF数据领域提供了全面服务。Refinitiv的数据覆盖了全球190多个国家的金融市场，ETF数据作为其整体数据生态的重要组成部分，获得了同等质量的覆盖。Refinitiv的Lipper基金数据库提供了全球基金的业绩评级和分类数据，对于ETF研究和分析具有重要参考价值。Refinitiv的数据服务通过Eikon终端和Elektron数据平台提供，支持实时数据订阅和历史数据查询。Refinitiv于2021年被伦敦证券交易所集团（LSEG）收购，成为其数据与分析业务的核心组成部分。</w:t>
      </w:r>
    </w:p>
    <w:p/>
    <w:p>
      <w:r>
        <w:rPr>
          <w:rFonts w:ascii="宋体" w:hAnsi="宋体" w:eastAsia="宋体"/>
          <w:sz w:val="22"/>
        </w:rPr>
        <w:t>S&amp;P Capital IQ 作为标普全球旗下专注于基本面数据的提供商，在ETF数据领域提供了独特而专业的数据服务。Capital IQ的优势在于其与标普指数体系的深度整合，为跟踪标普指数系列（包括标普500等全球重要基准指数）的ETF产品提供了详尽的成分股权重数据和指数调整预告数据。对于以Smart Beta策略和因子投资为方向的量化团队，Capital IQ的数据服务具有独特价值。</w:t>
      </w:r>
    </w:p>
    <w:p/>
    <w:p>
      <w:pPr>
        <w:pStyle w:val="Heading3"/>
      </w:pPr>
      <w:r>
        <w:rPr>
          <w:rFonts w:ascii="黑体" w:hAnsi="黑体" w:eastAsia="黑体"/>
          <w:sz w:val="24"/>
        </w:rPr>
        <w:t>3.2 ETF专属数据平台</w:t>
      </w:r>
    </w:p>
    <w:p/>
    <w:p>
      <w:r>
        <w:rPr>
          <w:rFonts w:ascii="宋体" w:hAnsi="宋体" w:eastAsia="宋体"/>
          <w:sz w:val="22"/>
        </w:rPr>
        <w:t>除综合性金融数据商外，海外市场还存在一批专注于ETF领域的垂直数据平台，这些平台在ETF细分市场提供了深度数据和专业分析。</w:t>
      </w:r>
    </w:p>
    <w:p/>
    <w:p>
      <w:r>
        <w:rPr>
          <w:rFonts w:ascii="宋体" w:hAnsi="宋体" w:eastAsia="宋体"/>
          <w:sz w:val="22"/>
        </w:rPr>
        <w:t>ETF.com 是北美市场最具影响力的ETF数据和分析平台之一，提供了覆盖美国市场所有ETF产品的完整数据库。ETF.com的数据产品包括ETF筛选工具、比较分析功能、历史业绩追踪、费用率统计、持仓数据披露等。对于量化策略研究者而言，ETF.com提供了ETF持仓明细数据，这些数据按照监管要求定期披露，是构建ETF复制组合的重要参考。ETF.com的数据服务部分免费向公众开放，高级数据产品采用订阅制收费。</w:t>
      </w:r>
    </w:p>
    <w:p/>
    <w:p>
      <w:r>
        <w:rPr>
          <w:rFonts w:ascii="宋体" w:hAnsi="宋体" w:eastAsia="宋体"/>
          <w:sz w:val="22"/>
        </w:rPr>
        <w:t>ETFGI LLP 是一家专注于ETF和ETP（交易所交易产品）研究的独立咨询机构，其发布的数据和报告在业界具有广泛影响力。ETFGI提供全球ETF市场的月度统计数据、行业趋势分析、产品创新追踪等研究产品。这些数据对于了解全球ETF市场整体发展态势、把握资金流向变化具有重要参考价值。ETFGI的研究报告通过其官方网站发布，部分内容免费获取，详细报告采用订购制。</w:t>
      </w:r>
    </w:p>
    <w:p/>
    <w:p>
      <w:r>
        <w:rPr>
          <w:rFonts w:ascii="宋体" w:hAnsi="宋体" w:eastAsia="宋体"/>
          <w:sz w:val="22"/>
        </w:rPr>
        <w:t>Morningstar晨星 作为全球领先的基金评级机构，其ETF数据服务涵盖了全球主要市场的ETF产品。晨星的ETF数据特色在于其基金分类体系和星级评级系统，这些评级基于基金的历史业绩、风险调整收益、费用率等多维度因素计算得出，为量化策略的基金选择提供了有价值的参考。晨星数据可通过其专业终端或数据接口获取，部分基础数据免费向公众开放。</w:t>
      </w:r>
    </w:p>
    <w:p/>
    <w:p>
      <w:pPr>
        <w:pStyle w:val="Heading3"/>
      </w:pPr>
      <w:r>
        <w:rPr>
          <w:rFonts w:ascii="黑体" w:hAnsi="黑体" w:eastAsia="黑体"/>
          <w:sz w:val="24"/>
        </w:rPr>
        <w:t>3.3 交易所直连数据</w:t>
      </w:r>
    </w:p>
    <w:p/>
    <w:p>
      <w:r>
        <w:rPr>
          <w:rFonts w:ascii="宋体" w:hAnsi="宋体" w:eastAsia="宋体"/>
          <w:sz w:val="22"/>
        </w:rPr>
        <w:t>对于有高频数据需求的专业量化机构，直接接入交易所数据通道是获取最及时、最完整数据的途径。全球主要交易所均提供针对机构客户的专业数据feed服务。</w:t>
      </w:r>
    </w:p>
    <w:p/>
    <w:p>
      <w:r>
        <w:rPr>
          <w:rFonts w:ascii="宋体" w:hAnsi="宋体" w:eastAsia="宋体"/>
          <w:sz w:val="22"/>
        </w:rPr>
        <w:t>纽约证券交易所（NYSE） 通过其Integrated Feed产品提供全面的市场数据服务。该数据feed包含订单簿深度数据、成交数据、订单失衡信息、证券状态消息等，提供了对股票和ETF产品最完整的实时行情覆盖。NYSE的数据产品采用分层定价策略，基础层数据价格相对较低，高级完整数据feed价格较高。NYSE Arca作为交易所的ETF专门交易平台，处理大部分美国ETF产品的交易，其数据feed对于关注美国ETF市场的量化机构不可或缺。</w:t>
      </w:r>
    </w:p>
    <w:p/>
    <w:p>
      <w:r>
        <w:rPr>
          <w:rFonts w:ascii="宋体" w:hAnsi="宋体" w:eastAsia="宋体"/>
          <w:sz w:val="22"/>
        </w:rPr>
        <w:t>纳斯达克（NASDAQ） 同样提供了专业级市场数据服务，其数据产品覆盖了在纳斯达克上市的所有ETF产品。纳斯达克的数据feed以低延迟著称，其股票和ETF数据的实时性在全球处于领先水平。纳斯达克的数据接口支持多种协议，便于量化系统集成。</w:t>
      </w:r>
    </w:p>
    <w:p/>
    <w:p>
      <w:r>
        <w:rPr>
          <w:rFonts w:ascii="宋体" w:hAnsi="宋体" w:eastAsia="宋体"/>
          <w:sz w:val="22"/>
        </w:rPr>
        <w:t>伦敦证券交易所集团（LSEG） 提供了覆盖欧洲主要市场的ETF数据服务。对于关注欧洲市场的量化机构，LSEG数据提供了对英国、德国、法国等主要市场ETF产品的完整覆盖。作为Refinitiv的母公司，LSEG的数据生态实现了从原始市场数据到高端分析的垂直整合。</w:t>
      </w:r>
    </w:p>
    <w:p/>
    <w:p>
      <w:r>
        <w:rPr>
          <w:rFonts w:ascii="宋体" w:hAnsi="宋体" w:eastAsia="宋体"/>
          <w:sz w:val="22"/>
        </w:rPr>
        <w:t>交易所直连数据的优势在于数据完整性和时效性均处于最高水平，但其成本也相对较高，且对技术基础设施有较高要求。选择交易所直连数据的机构通常需要具备专业的数据接收系统、网络带宽保障和技术运维能力。</w:t>
      </w:r>
    </w:p>
    <w:p/>
    <w:p>
      <w:r>
        <w:rPr>
          <w:rFonts w:ascii="宋体" w:hAnsi="宋体" w:eastAsia="宋体"/>
          <w:sz w:val="22"/>
        </w:rPr>
        <w:t>---</w:t>
      </w:r>
    </w:p>
    <w:p/>
    <w:p>
      <w:pPr>
        <w:pStyle w:val="Heading2"/>
      </w:pPr>
      <w:r>
        <w:rPr>
          <w:rFonts w:ascii="黑体" w:hAnsi="黑体" w:eastAsia="黑体"/>
          <w:sz w:val="28"/>
        </w:rPr>
        <w:t>四、ETF特有数据类型深度解析</w:t>
      </w:r>
    </w:p>
    <w:p/>
    <w:p>
      <w:pPr>
        <w:pStyle w:val="Heading3"/>
      </w:pPr>
      <w:r>
        <w:rPr>
          <w:rFonts w:ascii="黑体" w:hAnsi="黑体" w:eastAsia="黑体"/>
          <w:sz w:val="24"/>
        </w:rPr>
        <w:t>4.1 行情数据体系</w:t>
      </w:r>
    </w:p>
    <w:p/>
    <w:p>
      <w:r>
        <w:rPr>
          <w:rFonts w:ascii="宋体" w:hAnsi="宋体" w:eastAsia="宋体"/>
          <w:sz w:val="22"/>
        </w:rPr>
        <w:t>ETF的行情数据体系与普通股票高度相似，但在数据维度上存在一些ETF特有的补充字段。完整的ETF行情数据体系应包括实时行情、分时数据和历史K线数据三个层次。</w:t>
      </w:r>
    </w:p>
    <w:p/>
    <w:p>
      <w:r>
        <w:rPr>
          <w:rFonts w:ascii="宋体" w:hAnsi="宋体" w:eastAsia="宋体"/>
          <w:sz w:val="22"/>
        </w:rPr>
        <w:t>实时行情数据 包含ETF的最新成交价、成交量、成交额、买一卖一价格、涨跌幅度等基础信息。国内交易所每3秒发布一次ETF的实时行情快照，与股票交易时段同步。对于日内交易策略，实时行情数据的延迟是关键指标，主流数据商的延迟可控制在百毫秒级别。对于高频策略，部分专业数据商提供了tick级别的完整成交数据，包含每一笔成交的详细信息。</w:t>
      </w:r>
    </w:p>
    <w:p/>
    <w:p>
      <w:r>
        <w:rPr>
          <w:rFonts w:ascii="宋体" w:hAnsi="宋体" w:eastAsia="宋体"/>
          <w:sz w:val="22"/>
        </w:rPr>
        <w:t>分时数据 记录了ETF在单个交易日内的分钟级或秒级价格和成交量变化。分时数据用于计算技术指标、构建短期因子和进行日内策略回测。国内免费数据源通常提供5分钟级别的分时数据，部分付费渠道可提供1分钟甚至更高频率的数据。对于统计套利和统计时钟策略，分时数据的完整性和准确性直接影响策略表现。</w:t>
      </w:r>
    </w:p>
    <w:p/>
    <w:p>
      <w:r>
        <w:rPr>
          <w:rFonts w:ascii="宋体" w:hAnsi="宋体" w:eastAsia="宋体"/>
          <w:sz w:val="22"/>
        </w:rPr>
        <w:t>历史K线数据 包含了ETF在多个交易日内的日、周、月级别价格和成交量信息。历史K线数据是量化策略回测的基础材料，其质量取决于数据完整性（是否存在缺失交易日的记录）和数据准确性（价格和成交量数据是否经过校验）。主流数据源均提供标准化格式的历史K线数据，但在数据长度覆盖方面存在差异——部分数据源仅提供近期2-3年的数据，而专业数据商的回溯数据可达10年以上。</w:t>
      </w:r>
    </w:p>
    <w:p/>
    <w:p>
      <w:r>
        <w:rPr>
          <w:rFonts w:ascii="宋体" w:hAnsi="宋体" w:eastAsia="宋体"/>
          <w:sz w:val="22"/>
        </w:rPr>
        <w:t>在ETF行情数据领域，有一个特殊字段值得特别关注——IOPV（Indicative Optimized Portfolio Value，盘中估算净值）。IOPV是由交易所根据ETF申购赎回清单中的成分股实时价格计算的ETF参考净值，每15秒更新一次。IOPV反映了ETF的实时内在价值，是监测ETF二级市场价格与净值偏离的核心指标。免费数据源通常不提供IOPV实时数据，专业数据商如Wind提供了IOPV的完整历史序列，这对于折溢价分析和套利策略至关重要。</w:t>
      </w:r>
    </w:p>
    <w:p/>
    <w:p>
      <w:pPr>
        <w:pStyle w:val="Heading3"/>
      </w:pPr>
      <w:r>
        <w:rPr>
          <w:rFonts w:ascii="黑体" w:hAnsi="黑体" w:eastAsia="黑体"/>
          <w:sz w:val="24"/>
        </w:rPr>
        <w:t>4.2 申购赎回清单（PCF）</w:t>
      </w:r>
    </w:p>
    <w:p/>
    <w:p>
      <w:r>
        <w:rPr>
          <w:rFonts w:ascii="宋体" w:hAnsi="宋体" w:eastAsia="宋体"/>
          <w:sz w:val="22"/>
        </w:rPr>
        <w:t>申购赎回清单（Portfolio Composition File，PCF）是ETF运作机制中最核心的数据文件之一，其内容直接决定了ETF一级市场的申购赎回边界和套利空间。</w:t>
      </w:r>
    </w:p>
    <w:p/>
    <w:p>
      <w:r>
        <w:rPr>
          <w:rFonts w:ascii="宋体" w:hAnsi="宋体" w:eastAsia="宋体"/>
          <w:sz w:val="22"/>
        </w:rPr>
        <w:t>PCF文件的主要内容包括ETF基本信息、现金差额数据、最小申购赎回单位净值、预估现金部分、成分股信息等模块。ETF基本信息包括基金名称、管理人、基金代码等标识信息。现金差额字段记录了T-1日收盘后计算的实际现金差额，正值表示需要补现金，负值表示可以取回现金。成分股信息是PCF的核心部分，列明了当日申购赎回所需的一篮子股票构成，包括每只成分股的代码、名称、股票数量、现金替代标志、溢价比例等信息。</w:t>
      </w:r>
    </w:p>
    <w:p/>
    <w:p>
      <w:r>
        <w:rPr>
          <w:rFonts w:ascii="宋体" w:hAnsi="宋体" w:eastAsia="宋体"/>
          <w:sz w:val="22"/>
        </w:rPr>
        <w:t>现金替代标志是PCF中最为关键的控制字段之一，用于处理成分股停牌、流动性不足等特殊情况。现金替代标志通常包括"允许"（可以使用现金替代该股票，但存在溢价成本）、"必须"（必须用现金替代，通常适用于涨跌停或停牌股票）和"禁止"（不允许现金替代，必须实物交割）三种状态。溢价比例字段规定了现金替代时需要额外支付的溢价上限，用于补偿流动性风险和冲击成本。</w:t>
      </w:r>
    </w:p>
    <w:p/>
    <w:p>
      <w:r>
        <w:rPr>
          <w:rFonts w:ascii="宋体" w:hAnsi="宋体" w:eastAsia="宋体"/>
          <w:sz w:val="22"/>
        </w:rPr>
        <w:t>国内PCF数据的主要获取途径包括交易所官方网站（如上交所PCF清单查询页面）、基金公司官方披露以及Wind等专业数据商的PCF数据库。交易所PCF数据通常在每日开盘前发布，更新频率为每日一次。部分专业数据商提供了PCF历史数据存档和实时订阅服务，便于量化系统进行历史回测和实时监测。</w:t>
      </w:r>
    </w:p>
    <w:p/>
    <w:p>
      <w:r>
        <w:rPr>
          <w:rFonts w:ascii="宋体" w:hAnsi="宋体" w:eastAsia="宋体"/>
          <w:sz w:val="22"/>
        </w:rPr>
        <w:t>PCF数据在量化策略中的应用场景包括套利边界计算、复制组合构建、现金替代成本估算等。对于ETF做市商和套利策略开发者，PCF数据的结构化解析和实时更新是核心系统能力。</w:t>
      </w:r>
    </w:p>
    <w:p/>
    <w:p>
      <w:pPr>
        <w:pStyle w:val="Heading3"/>
      </w:pPr>
      <w:r>
        <w:rPr>
          <w:rFonts w:ascii="黑体" w:hAnsi="黑体" w:eastAsia="黑体"/>
          <w:sz w:val="24"/>
        </w:rPr>
        <w:t>4.3 IOPV数据详解</w:t>
      </w:r>
    </w:p>
    <w:p/>
    <w:p>
      <w:r>
        <w:rPr>
          <w:rFonts w:ascii="宋体" w:hAnsi="宋体" w:eastAsia="宋体"/>
          <w:sz w:val="22"/>
        </w:rPr>
        <w:t>IOPV作为ETF盘中实时估值的核心指标，在量化交易中具有不可替代的作用。理解IOPV的计算逻辑和数据特征对于开发ETF相关策略至关重要。</w:t>
      </w:r>
    </w:p>
    <w:p/>
    <w:p>
      <w:r>
        <w:rPr>
          <w:rFonts w:ascii="宋体" w:hAnsi="宋体" w:eastAsia="宋体"/>
          <w:sz w:val="22"/>
        </w:rPr>
        <w:t>IOPV的计算基于ETF申购赎回清单中的成分股权重和实时价格。交易所根据PCF清单中的股票数量和最新成交价，按照固定公式实时计算ETF的参考净值。由于成分股价格在交易时段持续变化，IOPV也随之每15秒更新一次。投资者可以通过交易所行情系统或专业数据终端查看IOPV数据。</w:t>
      </w:r>
    </w:p>
    <w:p/>
    <w:p>
      <w:r>
        <w:rPr>
          <w:rFonts w:ascii="宋体" w:hAnsi="宋体" w:eastAsia="宋体"/>
          <w:sz w:val="22"/>
        </w:rPr>
        <w:t>IOPV与ETF二级市场价格之间的偏差构成了ETF套利策略的核心利润来源。当ETF价格高于IOPV（溢价）时，套利者可以买入一篮子成分股、申购ETF份额并在二级市场卖出，获取无风险收益；反之，当ETF价格低于IOPV（折价）时，套利者可以从二级市场买入ETF份额、赎回一篮子成分股并卖出，获取折价收益。套利行为会消除价格偏差，使ETF价格围绕IOPV波动。</w:t>
      </w:r>
    </w:p>
    <w:p/>
    <w:p>
      <w:r>
        <w:rPr>
          <w:rFonts w:ascii="宋体" w:hAnsi="宋体" w:eastAsia="宋体"/>
          <w:sz w:val="22"/>
        </w:rPr>
        <w:t>IOPV数据的主要应用场景包括折溢价率监测、套利机会识别、做市商报价调整等。对于量化策略而言，IOPV历史数据的分析价值在于识别市场情绪和流动性变化的规律，为因子构建提供参考。</w:t>
      </w:r>
    </w:p>
    <w:p/>
    <w:p>
      <w:r>
        <w:rPr>
          <w:rFonts w:ascii="宋体" w:hAnsi="宋体" w:eastAsia="宋体"/>
          <w:sz w:val="22"/>
        </w:rPr>
        <w:t>国内免费数据源通常不提供IOPV实时数据，部分专业数据商如Wind提供了IOPV的完整历史序列。对于需要IOPV数据进行策略回测的量化团队，需要依赖付费数据源或通过实时行情接口自行计算。</w:t>
      </w:r>
    </w:p>
    <w:p/>
    <w:p>
      <w:pPr>
        <w:pStyle w:val="Heading3"/>
      </w:pPr>
      <w:r>
        <w:rPr>
          <w:rFonts w:ascii="黑体" w:hAnsi="黑体" w:eastAsia="黑体"/>
          <w:sz w:val="24"/>
        </w:rPr>
        <w:t>4.4 持仓数据与REIT特殊需求</w:t>
      </w:r>
    </w:p>
    <w:p/>
    <w:p>
      <w:r>
        <w:rPr>
          <w:rFonts w:ascii="宋体" w:hAnsi="宋体" w:eastAsia="宋体"/>
          <w:sz w:val="22"/>
        </w:rPr>
        <w:t>ETF持仓数据反映了基金在报告期末的股票组合结构，是构建复制组合和进行归因分析的基础数据。根据监管要求，ETF需要在季度报告和半年度报告中披露完整持仓信息。</w:t>
      </w:r>
    </w:p>
    <w:p/>
    <w:p>
      <w:r>
        <w:rPr>
          <w:rFonts w:ascii="宋体" w:hAnsi="宋体" w:eastAsia="宋体"/>
          <w:sz w:val="22"/>
        </w:rPr>
        <w:t>持仓数据的发布频率通常为季度，披露内容包括前十大成分股的代码、名称、持股数量和占净值比例等信息。对于完全复制型ETF，持仓数据与跟踪指数的权重高度接近；对于抽样复制型ETF，持仓数据与指数权重存在一定偏差。量化策略可以使用持仓数据进行跟踪误差计算、因子暴露分析和套利机会识别。</w:t>
      </w:r>
    </w:p>
    <w:p/>
    <w:p>
      <w:r>
        <w:rPr>
          <w:rFonts w:ascii="宋体" w:hAnsi="宋体" w:eastAsia="宋体"/>
          <w:sz w:val="22"/>
        </w:rPr>
        <w:t>REIT（房地产投资信托基金）型ETF在持仓数据方面具有特殊需求。REIT产品需要按规定将90%以上的收益分配给投资者，其投资组合主要包含房地产资产。REIT ETF的持仓数据不仅包括股票持仓，还包括不动产项目信息、租金收入数据等特殊字段。部分数据商为REIT ETF提供了额外的分析数据产品，如资产组合明细、估值变化追踪等。</w:t>
      </w:r>
    </w:p>
    <w:p/>
    <w:p>
      <w:pPr>
        <w:pStyle w:val="Heading3"/>
      </w:pPr>
      <w:r>
        <w:rPr>
          <w:rFonts w:ascii="黑体" w:hAnsi="黑体" w:eastAsia="黑体"/>
          <w:sz w:val="24"/>
        </w:rPr>
        <w:t>4.5 资金流数据</w:t>
      </w:r>
    </w:p>
    <w:p/>
    <w:p>
      <w:r>
        <w:rPr>
          <w:rFonts w:ascii="宋体" w:hAnsi="宋体" w:eastAsia="宋体"/>
          <w:sz w:val="22"/>
        </w:rPr>
        <w:t>资金流数据反映了投资者对ETF产品的申购赎回行为和市场情绪变化，是量化策略中的重要参考维度。资金流数据通常包括份额变化和净值规模两个维度。</w:t>
      </w:r>
    </w:p>
    <w:p/>
    <w:p>
      <w:r>
        <w:rPr>
          <w:rFonts w:ascii="宋体" w:hAnsi="宋体" w:eastAsia="宋体"/>
          <w:sz w:val="22"/>
        </w:rPr>
        <w:t>份额变化数据记录了ETF在特定时间段内的份额净增长或净减少。投资者净申购会导致ETF份额增加，反之则减少。份额变化数据可以帮助量化策略识别市场情绪的短期拐点。当ETF出现大额净申购时，通常意味着投资者对市场持乐观态度；而大额净赎回则反映悲观情绪。资金流数据与价格变化的关系是构建情绪因子的重要基础。</w:t>
      </w:r>
    </w:p>
    <w:p/>
    <w:p>
      <w:r>
        <w:rPr>
          <w:rFonts w:ascii="宋体" w:hAnsi="宋体" w:eastAsia="宋体"/>
          <w:sz w:val="22"/>
        </w:rPr>
        <w:t>净值规模数据反映了ETF在市场中的整体地位和影响力。规模较大的ETF通常具有更好的流动性和更低的跟踪误差，是机构投资者配置的首选。规模变化趋势反映了ETF产品的市场接受程度演变。</w:t>
      </w:r>
    </w:p>
    <w:p/>
    <w:p>
      <w:r>
        <w:rPr>
          <w:rFonts w:ascii="宋体" w:hAnsi="宋体" w:eastAsia="宋体"/>
          <w:sz w:val="22"/>
        </w:rPr>
        <w:t>资金流数据的获取途径包括基金公司官方披露、交易所交易统计以及专业数据商的数据产品。东方财富Choice等平台提供了完整的ETF资金流数据服务，包括日频和更细粒度的资金流追踪。</w:t>
      </w:r>
    </w:p>
    <w:p/>
    <w:p>
      <w:pPr>
        <w:pStyle w:val="Heading3"/>
      </w:pPr>
      <w:r>
        <w:rPr>
          <w:rFonts w:ascii="黑体" w:hAnsi="黑体" w:eastAsia="黑体"/>
          <w:sz w:val="24"/>
        </w:rPr>
        <w:t>4.6 一级市场数据</w:t>
      </w:r>
    </w:p>
    <w:p/>
    <w:p>
      <w:r>
        <w:rPr>
          <w:rFonts w:ascii="宋体" w:hAnsi="宋体" w:eastAsia="宋体"/>
          <w:sz w:val="22"/>
        </w:rPr>
        <w:t>ETF一级市场数据是反映ETF内在运作机制的核心信息，包括申购赎回数据、套利活动监测和流动性贡献等维度。</w:t>
      </w:r>
    </w:p>
    <w:p/>
    <w:p>
      <w:r>
        <w:rPr>
          <w:rFonts w:ascii="宋体" w:hAnsi="宋体" w:eastAsia="宋体"/>
          <w:sz w:val="22"/>
        </w:rPr>
        <w:t>申购赎回数据 记录了特定时间段内ETF的申赎业务量，包括申购份额、赎回份额、净申购量等指标。这些数据通常在每日收盘后由基金公司或交易所发布。申赎数据的高频变化反映了机构投资者对ETF短期走势的判断，是市场情绪的先行指标之一。</w:t>
      </w:r>
    </w:p>
    <w:p/>
    <w:p>
      <w:r>
        <w:rPr>
          <w:rFonts w:ascii="宋体" w:hAnsi="宋体" w:eastAsia="宋体"/>
          <w:sz w:val="22"/>
        </w:rPr>
        <w:t>套利活动监测 基于对IOPV偏差和申赎行为的联合分析，帮助量化团队识别套利机会的存在和强度。当溢价（或折价）持续存在且幅度较大时，意味着套利机制可能失效或存在阻碍套利的特殊因素。</w:t>
      </w:r>
    </w:p>
    <w:p/>
    <w:p>
      <w:r>
        <w:rPr>
          <w:rFonts w:ascii="宋体" w:hAnsi="宋体" w:eastAsia="宋体"/>
          <w:sz w:val="22"/>
        </w:rPr>
        <w:t>流动性贡献数据 追踪了一级市场活动对ETF整体流动性的贡献程度。对于做市商策略，了解哪些投资者通过申赎为市场提供流动性具有重要价值。</w:t>
      </w:r>
    </w:p>
    <w:p/>
    <w:p>
      <w:r>
        <w:rPr>
          <w:rFonts w:ascii="宋体" w:hAnsi="宋体" w:eastAsia="宋体"/>
          <w:sz w:val="22"/>
        </w:rPr>
        <w:t>---</w:t>
      </w:r>
    </w:p>
    <w:p/>
    <w:p>
      <w:pPr>
        <w:pStyle w:val="Heading2"/>
      </w:pPr>
      <w:r>
        <w:rPr>
          <w:rFonts w:ascii="黑体" w:hAnsi="黑体" w:eastAsia="黑体"/>
          <w:sz w:val="28"/>
        </w:rPr>
        <w:t>五、数据质量与成本对比分析</w:t>
      </w:r>
    </w:p>
    <w:p/>
    <w:p>
      <w:pPr>
        <w:pStyle w:val="Heading3"/>
      </w:pPr>
      <w:r>
        <w:rPr>
          <w:rFonts w:ascii="黑体" w:hAnsi="黑体" w:eastAsia="黑体"/>
          <w:sz w:val="24"/>
        </w:rPr>
        <w:t>5.1 覆盖范围对比</w:t>
      </w:r>
    </w:p>
    <w:p/>
    <w:p>
      <w:r>
        <w:rPr>
          <w:rFonts w:ascii="宋体" w:hAnsi="宋体" w:eastAsia="宋体"/>
          <w:sz w:val="22"/>
        </w:rPr>
        <w:t>数据源的覆盖范围是评估其适用性的首要维度。不同数据源在覆盖的产品类型、时间跨度和数据维度方面存在显著差异。</w:t>
      </w:r>
    </w:p>
    <w:p/>
    <w:p>
      <w:r>
        <w:rPr>
          <w:rFonts w:ascii="宋体" w:hAnsi="宋体" w:eastAsia="宋体"/>
          <w:sz w:val="22"/>
        </w:rPr>
        <w:t>从产品覆盖角度分析，国内免费数据源如AkShare、Baostock等通常覆盖了沪深两市的主要ETF产品，包括股票型、债券型、商品型等类型。但对于跨境ETF、细分行业主题ETF等高端产品，部分免费数据源的覆盖可能存在缺失。付费数据源如Wind、Choice的覆盖范围更为全面，基本实现了对境内所有上市ETF的完整覆盖。海外数据源的覆盖范围取决于其地理定位——Bloomberg、Refinitiv等综合性数据商覆盖全球主要市场ETF产品，而专注于特定区域的平台覆盖范围相对有限。</w:t>
      </w:r>
    </w:p>
    <w:p/>
    <w:p>
      <w:r>
        <w:rPr>
          <w:rFonts w:ascii="宋体" w:hAnsi="宋体" w:eastAsia="宋体"/>
          <w:sz w:val="22"/>
        </w:rPr>
        <w:t>从时间跨度角度分析，不同数据源的历史数据回溯深度差异明显。交易所官方数据通常保留了近年来发布的历史记录，但更长时间的回溯可能需要向交易所提出专项申请。专业数据商的回溯能力取决于其历史数据积累程度，Wind等老牌数据商通常提供了10年以上的完整历史数据。开源社区数据的回溯深度受限于数据采集开始时间，部分产品可能仅有2-3年的历史记录。</w:t>
      </w:r>
    </w:p>
    <w:p/>
    <w:p>
      <w:r>
        <w:rPr>
          <w:rFonts w:ascii="宋体" w:hAnsi="宋体" w:eastAsia="宋体"/>
          <w:sz w:val="22"/>
        </w:rPr>
        <w:t>从数据维度角度分析，免费数据源主要提供基础行情数据，包括OHLC（开高低收）、成交量、成交额等标准字段。付费数据源在此基础上增加了IOPV、PCF完整内容、持仓明细、资金流等高价值数据字段。部分专业数据商还提供因子数据、情绪数据等增值产品。</w:t>
      </w:r>
    </w:p>
    <w:p/>
    <w:p>
      <w:pPr>
        <w:pStyle w:val="Heading3"/>
      </w:pPr>
      <w:r>
        <w:rPr>
          <w:rFonts w:ascii="黑体" w:hAnsi="黑体" w:eastAsia="黑体"/>
          <w:sz w:val="24"/>
        </w:rPr>
        <w:t>5.2 数据准确性评估</w:t>
      </w:r>
    </w:p>
    <w:p/>
    <w:p>
      <w:r>
        <w:rPr>
          <w:rFonts w:ascii="宋体" w:hAnsi="宋体" w:eastAsia="宋体"/>
          <w:sz w:val="22"/>
        </w:rPr>
        <w:t>数据准确性是量化策略可靠性的基础保障，数据质量问题可能导致策略失效甚至损失。评估数据准确性需要关注数据源的数据校验机制、历史一致性检验和异常值处理能力。</w:t>
      </w:r>
    </w:p>
    <w:p/>
    <w:p>
      <w:r>
        <w:rPr>
          <w:rFonts w:ascii="宋体" w:hAnsi="宋体" w:eastAsia="宋体"/>
          <w:sz w:val="22"/>
        </w:rPr>
        <w:t>主流数据商的校验机制包括交叉验证（对比多个独立数据源的一致性）、逻辑校验（检查字段间的逻辑关系如涨跌幅计算是否正确）、历史回溯（对比数据与历史公告的一致性）等。Wind等专业数据商建立了完善的数据质量控制流程，通过多重校验确保数据的准确性。</w:t>
      </w:r>
    </w:p>
    <w:p/>
    <w:p>
      <w:r>
        <w:rPr>
          <w:rFonts w:ascii="宋体" w:hAnsi="宋体" w:eastAsia="宋体"/>
          <w:sz w:val="22"/>
        </w:rPr>
        <w:t>异常值处理能力是评估数据源的重要指标。真实市场环境中可能发生数据错误、传输故障等情况，专业数据商具备识别和处理异常值的能力，而部分免费数据源可能直接暴露原始错误数据。量化团队在使用任何数据源时都应建立数据清洗流程，对关键字段进行合理性检验。</w:t>
      </w:r>
    </w:p>
    <w:p/>
    <w:p>
      <w:r>
        <w:rPr>
          <w:rFonts w:ascii="宋体" w:hAnsi="宋体" w:eastAsia="宋体"/>
          <w:sz w:val="22"/>
        </w:rPr>
        <w:t>不同数据源之间的数据一致性是另一个关注点。研究显示，同一ETF的历史价格在某些交易日可能因复权方式、前复权与不复权的处理差异而存在细微差异。量化团队在选择数据源时需要明确自身的复权方式偏好，并在回测和实盘交易中保持一致。</w:t>
      </w:r>
    </w:p>
    <w:p/>
    <w:p>
      <w:pPr>
        <w:pStyle w:val="Heading3"/>
      </w:pPr>
      <w:r>
        <w:rPr>
          <w:rFonts w:ascii="黑体" w:hAnsi="黑体" w:eastAsia="黑体"/>
          <w:sz w:val="24"/>
        </w:rPr>
        <w:t>5.3 时延特性分析</w:t>
      </w:r>
    </w:p>
    <w:p/>
    <w:p>
      <w:r>
        <w:rPr>
          <w:rFonts w:ascii="宋体" w:hAnsi="宋体" w:eastAsia="宋体"/>
          <w:sz w:val="22"/>
        </w:rPr>
        <w:t>数据时延直接影响策略的执行效果，不同交易频率的策略对时延有不同的要求。日线级别策略对时延的敏感度较低，免费数据源提供的日终数据可以满足需求。日内策略对时延的要求较高，需要专业数据商提供的实时或准实时数据。高频策略对时延的要求达到毫秒级，通常需要交易所直连数据。</w:t>
      </w:r>
    </w:p>
    <w:p/>
    <w:p>
      <w:r>
        <w:rPr>
          <w:rFonts w:ascii="宋体" w:hAnsi="宋体" w:eastAsia="宋体"/>
          <w:sz w:val="22"/>
        </w:rPr>
        <w:t>国内专业数据商的实时数据时延通常在百毫秒到秒级之间，这一延迟对于大多数量化策略而言可以接受。部分对冲基金和做市商采用了专用的低延迟数据通道，可以将延迟压缩到十毫秒以内，但这需要显著的基础设施投入。</w:t>
      </w:r>
    </w:p>
    <w:p/>
    <w:p>
      <w:r>
        <w:rPr>
          <w:rFonts w:ascii="宋体" w:hAnsi="宋体" w:eastAsia="宋体"/>
          <w:sz w:val="22"/>
        </w:rPr>
        <w:t>免费数据源的时延通常较高，部分开源数据接口的数据更新频率可能仅为分钟级。对于依赖实时数据的策略，应避免使用免费数据源作为主要数据供给渠道。</w:t>
      </w:r>
    </w:p>
    <w:p/>
    <w:p>
      <w:r>
        <w:rPr>
          <w:rFonts w:ascii="宋体" w:hAnsi="宋体" w:eastAsia="宋体"/>
          <w:sz w:val="22"/>
        </w:rPr>
        <w:t>海外数据商的全球数据同步能力也是重要考量因素。对于跨境ETF产品，涉及多个时区的市场数据同步，其一致性直接影响策略的准确性。</w:t>
      </w:r>
    </w:p>
    <w:p/>
    <w:p>
      <w:pPr>
        <w:pStyle w:val="Heading3"/>
      </w:pPr>
      <w:r>
        <w:rPr>
          <w:rFonts w:ascii="黑体" w:hAnsi="黑体" w:eastAsia="黑体"/>
          <w:sz w:val="24"/>
        </w:rPr>
        <w:t>5.4 成本结构比较</w:t>
      </w:r>
    </w:p>
    <w:p/>
    <w:p>
      <w:r>
        <w:rPr>
          <w:rFonts w:ascii="宋体" w:hAnsi="宋体" w:eastAsia="宋体"/>
          <w:sz w:val="22"/>
        </w:rPr>
        <w:t>数据成本是量化团队选择数据源时的重要考量因素，不同数据源的成本结构和性价比存在显著差异。</w:t>
      </w:r>
    </w:p>
    <w:p/>
    <w:p>
      <w:r>
        <w:rPr>
          <w:rFonts w:ascii="宋体" w:hAnsi="宋体" w:eastAsia="宋体"/>
          <w:sz w:val="22"/>
        </w:rPr>
        <w:t>免费数据源的主要成本为零订阅费用，但存在隐含成本——包括数据获取的技术开发投入、数据清洗和质量控制的人工成本、以及服务不稳定可能带来的风险成本。对于预算有限的个人投资者和初创团队，免费数据源是入门级选择。</w:t>
      </w:r>
    </w:p>
    <w:p/>
    <w:p>
      <w:r>
        <w:rPr>
          <w:rFonts w:ascii="宋体" w:hAnsi="宋体" w:eastAsia="宋体"/>
          <w:sz w:val="22"/>
        </w:rPr>
        <w:t>付费数据源采用订阅制收费模式，价格根据数据覆盖范围、功能模块和用户数量等因素浮动。Wind资讯的年度订阅费用在数万至数十万元级别，主要面向机构客户。同花顺iFind和东方财富Choice的定价相对灵活，对中小机构的可及性较高。海外数据商如Bloomberg的年费通常在两万美元以上，属于专业级服务。</w:t>
      </w:r>
    </w:p>
    <w:p/>
    <w:p>
      <w:r>
        <w:rPr>
          <w:rFonts w:ascii="宋体" w:hAnsi="宋体" w:eastAsia="宋体"/>
          <w:sz w:val="22"/>
        </w:rPr>
        <w:t>交易所直连数据的成本结构包括数据feed费用、基础设施投入和运维成本。数据feed费用根据数据层级和产品范围有所不同，整体成本较高，通常只有具备一定规模的量化机构才会选择。</w:t>
      </w:r>
    </w:p>
    <w:p/>
    <w:p>
      <w:r>
        <w:rPr>
          <w:rFonts w:ascii="宋体" w:hAnsi="宋体" w:eastAsia="宋体"/>
          <w:sz w:val="22"/>
        </w:rPr>
        <w:t>从性价比角度分析，对于以日线数据研究为主的团队，免费数据源是经济的选择；对于需要实时数据的日内交易策略，付费数据源的性价比更高；对于专业量化机构，交易所直连数据虽然成本最高但提供了最优的数据质量和控制能力。</w:t>
      </w:r>
    </w:p>
    <w:p/>
    <w:p>
      <w:r>
        <w:rPr>
          <w:rFonts w:ascii="宋体" w:hAnsi="宋体" w:eastAsia="宋体"/>
          <w:sz w:val="22"/>
        </w:rPr>
        <w:t>---</w:t>
      </w:r>
    </w:p>
    <w:p/>
    <w:p>
      <w:pPr>
        <w:pStyle w:val="Heading2"/>
      </w:pPr>
      <w:r>
        <w:rPr>
          <w:rFonts w:ascii="黑体" w:hAnsi="黑体" w:eastAsia="黑体"/>
          <w:sz w:val="28"/>
        </w:rPr>
        <w:t>六、实际获取建议</w:t>
      </w:r>
    </w:p>
    <w:p/>
    <w:p>
      <w:pPr>
        <w:pStyle w:val="Heading3"/>
      </w:pPr>
      <w:r>
        <w:rPr>
          <w:rFonts w:ascii="黑体" w:hAnsi="黑体" w:eastAsia="黑体"/>
          <w:sz w:val="24"/>
        </w:rPr>
        <w:t>6.1 按策略类型选择数据方案</w:t>
      </w:r>
    </w:p>
    <w:p/>
    <w:p>
      <w:r>
        <w:rPr>
          <w:rFonts w:ascii="宋体" w:hAnsi="宋体" w:eastAsia="宋体"/>
          <w:sz w:val="22"/>
        </w:rPr>
        <w:t>不同量化策略对数据的需求存在本质差异，选择合适的数据方案需要结合策略特性进行综合考量。</w:t>
      </w:r>
    </w:p>
    <w:p/>
    <w:p>
      <w:r>
        <w:rPr>
          <w:rFonts w:ascii="宋体" w:hAnsi="宋体" w:eastAsia="宋体"/>
          <w:sz w:val="22"/>
        </w:rPr>
        <w:t>对于ETF套利策略，核心需求是IOPV实时数据和PCF清单数据。套利策略需要实时监测ETF价格与IOPV的偏差，当偏差超过阈值时触发交易。这要求数据源提供低延迟的实时行情和IOPV数据，同时PCF数据需要完整且易于程序化解析。建议采用Wind等付费数据源作为主要数据供给，并建立自建的PCF解析和IOPV监控模块作为备份。</w:t>
      </w:r>
    </w:p>
    <w:p/>
    <w:p>
      <w:r>
        <w:rPr>
          <w:rFonts w:ascii="宋体" w:hAnsi="宋体" w:eastAsia="宋体"/>
          <w:sz w:val="22"/>
        </w:rPr>
        <w:t>对于指数复制与增强策略，核心需求是成分股权重数据和持仓明细数据。这类策略需要根据指数构成构建复制组合，对数据的完整性要求较高。成分股权重数据可从中证指数公司获取，持仓数据可从基金季报和Wind等专业渠道获取。建议采用Wind+指数公司数据的组合方案。</w:t>
      </w:r>
    </w:p>
    <w:p/>
    <w:p>
      <w:r>
        <w:rPr>
          <w:rFonts w:ascii="宋体" w:hAnsi="宋体" w:eastAsia="宋体"/>
          <w:sz w:val="22"/>
        </w:rPr>
        <w:t>对于资金流因子策略，核心需求是资金流时间序列数据。资金流数据可以帮助构建市场情绪因子，捕捉投资者行为的短期变化。建议采用东方财富Choice等提供完整资金流数据的平台。</w:t>
      </w:r>
    </w:p>
    <w:p/>
    <w:p>
      <w:r>
        <w:rPr>
          <w:rFonts w:ascii="宋体" w:hAnsi="宋体" w:eastAsia="宋体"/>
          <w:sz w:val="22"/>
        </w:rPr>
        <w:t>对于高频交易策略，核心需求是完整orderbook数据和极低延迟的行情数据。这类策略需要交易所直连数据feed，数据成本和技术要求均较高。建议通过专门的低延迟数据商获取数据，并投入足够的硬件和网络基础设施。</w:t>
      </w:r>
    </w:p>
    <w:p/>
    <w:p>
      <w:pPr>
        <w:pStyle w:val="Heading3"/>
      </w:pPr>
      <w:r>
        <w:rPr>
          <w:rFonts w:ascii="黑体" w:hAnsi="黑体" w:eastAsia="黑体"/>
          <w:sz w:val="24"/>
        </w:rPr>
        <w:t>6.2 数据获取技术路径</w:t>
      </w:r>
    </w:p>
    <w:p/>
    <w:p>
      <w:r>
        <w:rPr>
          <w:rFonts w:ascii="宋体" w:hAnsi="宋体" w:eastAsia="宋体"/>
          <w:sz w:val="22"/>
        </w:rPr>
        <w:t>实现ETF数据的程序化获取需要综合考虑技术架构、数据接口和错误处理机制等因素。</w:t>
      </w:r>
    </w:p>
    <w:p/>
    <w:p>
      <w:r>
        <w:rPr>
          <w:rFonts w:ascii="宋体" w:hAnsi="宋体" w:eastAsia="宋体"/>
          <w:sz w:val="22"/>
        </w:rPr>
        <w:t>实时数据获取的技术路径包括三种选择：一是使用数据商提供的专业接口（如Wind的COM API或Python API），具有稳定性和低延迟的优势，但需要订阅付费数据源；二是使用交易所提供的原生数据接口（如上证信息的数据接口），成本相对较低但开发工作量较大；三是使用开源数据聚合库（如AkShare），开发成本低但稳定性和时效性不如专业方案。</w:t>
      </w:r>
    </w:p>
    <w:p/>
    <w:p>
      <w:r>
        <w:rPr>
          <w:rFonts w:ascii="宋体" w:hAnsi="宋体" w:eastAsia="宋体"/>
          <w:sz w:val="22"/>
        </w:rPr>
        <w:t>历史数据获取的技术路径相对成熟，主流数据源均提供了标准化的历史数据查询接口。对于回溯测试需求，建议使用专业数据商的历史数据，以确保数据的完整性和准确性。开源数据源可作为补充渠道，但需要建立严格的数据校验流程。</w:t>
      </w:r>
    </w:p>
    <w:p/>
    <w:p>
      <w:r>
        <w:rPr>
          <w:rFonts w:ascii="宋体" w:hAnsi="宋体" w:eastAsia="宋体"/>
          <w:sz w:val="22"/>
        </w:rPr>
        <w:t>PCF数据获取的技术路径需要关注数据源和解析逻辑两个环节。交易所官方提供了PCF清单的公开披露页面，数据可以直接从交易所网站获取或通过专业数据商的PCF数据库订阅。PCF解析需要处理不同交易所的格式差异（上交所采用TXT格式，深交所采用XML格式），建议建立统一的PCF数据模型和解析模块。</w:t>
      </w:r>
    </w:p>
    <w:p/>
    <w:p>
      <w:pPr>
        <w:pStyle w:val="Heading3"/>
      </w:pPr>
      <w:r>
        <w:rPr>
          <w:rFonts w:ascii="黑体" w:hAnsi="黑体" w:eastAsia="黑体"/>
          <w:sz w:val="24"/>
        </w:rPr>
        <w:t>6.3 成本优化策略</w:t>
      </w:r>
    </w:p>
    <w:p/>
    <w:p>
      <w:r>
        <w:rPr>
          <w:rFonts w:ascii="宋体" w:hAnsi="宋体" w:eastAsia="宋体"/>
          <w:sz w:val="22"/>
        </w:rPr>
        <w:t>对于预算有限的量化团队，可以通过以下策略优化数据成本。</w:t>
      </w:r>
    </w:p>
    <w:p/>
    <w:p>
      <w:r>
        <w:rPr>
          <w:rFonts w:ascii="宋体" w:hAnsi="宋体" w:eastAsia="宋体"/>
          <w:sz w:val="22"/>
        </w:rPr>
        <w:t>免费数据源的深度利用：AkShare等开源数据源已经覆盖了相当部分的基础行情数据需求，对于日线级别策略和初步验证需求，免费数据源可以满足基本要求。通过组合使用多个免费数据源，可以实现交叉验证和备份功能。</w:t>
      </w:r>
    </w:p>
    <w:p/>
    <w:p>
      <w:r>
        <w:rPr>
          <w:rFonts w:ascii="宋体" w:hAnsi="宋体" w:eastAsia="宋体"/>
          <w:sz w:val="22"/>
        </w:rPr>
        <w:t>数据源的分层部署：建议建立"免费数据源+基础付费数据源+专业数据源"的分层架构。免费数据源用于研究阶段和原型验证；基础付费数据源用于生产环境的基础数据需求；专业数据源仅在必要时使用。通过这种分层架构，可以在保证数据质量的前提下优化总体成本。</w:t>
      </w:r>
    </w:p>
    <w:p/>
    <w:p>
      <w:r>
        <w:rPr>
          <w:rFonts w:ascii="宋体" w:hAnsi="宋体" w:eastAsia="宋体"/>
          <w:sz w:val="22"/>
        </w:rPr>
        <w:t>数据共享与协作：对于多个量化团队或多个策略项目，可以考虑共享数据采购成本。Wind等专业数据商通常支持多用户授权，通过团队内部协调可以实现成本分摊。</w:t>
      </w:r>
    </w:p>
    <w:p/>
    <w:p>
      <w:r>
        <w:rPr>
          <w:rFonts w:ascii="宋体" w:hAnsi="宋体" w:eastAsia="宋体"/>
          <w:sz w:val="22"/>
        </w:rPr>
        <w:t>---</w:t>
      </w:r>
    </w:p>
    <w:p/>
    <w:p>
      <w:pPr>
        <w:pStyle w:val="Heading2"/>
      </w:pPr>
      <w:r>
        <w:rPr>
          <w:rFonts w:ascii="黑体" w:hAnsi="黑体" w:eastAsia="黑体"/>
          <w:sz w:val="28"/>
        </w:rPr>
        <w:t>七、结论与展望</w:t>
      </w:r>
    </w:p>
    <w:p/>
    <w:p>
      <w:pPr>
        <w:pStyle w:val="Heading3"/>
      </w:pPr>
      <w:r>
        <w:rPr>
          <w:rFonts w:ascii="黑体" w:hAnsi="黑体" w:eastAsia="黑体"/>
          <w:sz w:val="24"/>
        </w:rPr>
        <w:t>7.1 主要结论</w:t>
      </w:r>
    </w:p>
    <w:p/>
    <w:p>
      <w:r>
        <w:rPr>
          <w:rFonts w:ascii="宋体" w:hAnsi="宋体" w:eastAsia="宋体"/>
          <w:sz w:val="22"/>
        </w:rPr>
        <w:t>本研究系统梳理了ETF量化交易所需的数据源体系，得出以下主要结论。</w:t>
      </w:r>
    </w:p>
    <w:p/>
    <w:p>
      <w:r>
        <w:rPr>
          <w:rFonts w:ascii="宋体" w:hAnsi="宋体" w:eastAsia="宋体"/>
          <w:sz w:val="22"/>
        </w:rPr>
        <w:t>第一，中国市场的ETF数据源已形成完整的多层次供给体系。免费数据源（交易所公开信息、开源数据库）为入门级用户提供基础数据支持；付费数据源（Wind、同花顺iFind、东方财富Choice、聚源等）提供了全面而专业的数据服务；券商研报和内部数据提供了差异化的高端分析支持。量化团队应根据自身需求和预算选择合适的数据组合。</w:t>
      </w:r>
    </w:p>
    <w:p/>
    <w:p>
      <w:r>
        <w:rPr>
          <w:rFonts w:ascii="宋体" w:hAnsi="宋体" w:eastAsia="宋体"/>
          <w:sz w:val="22"/>
        </w:rPr>
        <w:t>第二，海外市场的ETF数据源以Bloomberg和Refinitiv两大国际巨头为核心，辅以ETF.com、ETFGI等垂直数据平台和交易所直连数据服务。这些数据源覆盖了全球主要市场，为跨境ETF策略提供了数据基础，但其成本较高，主要面向专业机构用户。</w:t>
      </w:r>
    </w:p>
    <w:p/>
    <w:p>
      <w:r>
        <w:rPr>
          <w:rFonts w:ascii="宋体" w:hAnsi="宋体" w:eastAsia="宋体"/>
          <w:sz w:val="22"/>
        </w:rPr>
        <w:t>第三，ETF特有的数据类型（PCF、IOPV、成分股持仓、资金流等）是区别于普通股票量化策略的核心数据需求。PCF数据的完整性影响套利边界的计算准确性，IOPV数据的时效性影响折溢价监测的有效性，持仓数据影响复制组合的跟踪误差。量化团队需要针对这些特殊数据类型建立专门的数据获取和处理能力。</w:t>
      </w:r>
    </w:p>
    <w:p/>
    <w:p>
      <w:r>
        <w:rPr>
          <w:rFonts w:ascii="宋体" w:hAnsi="宋体" w:eastAsia="宋体"/>
          <w:sz w:val="22"/>
        </w:rPr>
        <w:t>第四，数据质量与成本之间存在明确的权衡关系。免费数据源成本低但覆盖范围和质量有限；付费数据源提供更高质量的数据服务但需要较高的订阅成本；交易所直连数据提供最高质量的数据但需要显著的基础设施投入。量化团队需要根据策略需求和预算约束进行合理选择。</w:t>
      </w:r>
    </w:p>
    <w:p/>
    <w:p>
      <w:pPr>
        <w:pStyle w:val="Heading3"/>
      </w:pPr>
      <w:r>
        <w:rPr>
          <w:rFonts w:ascii="黑体" w:hAnsi="黑体" w:eastAsia="黑体"/>
          <w:sz w:val="24"/>
        </w:rPr>
        <w:t>7.2 未来展望</w:t>
      </w:r>
    </w:p>
    <w:p/>
    <w:p>
      <w:r>
        <w:rPr>
          <w:rFonts w:ascii="宋体" w:hAnsi="宋体" w:eastAsia="宋体"/>
          <w:sz w:val="22"/>
        </w:rPr>
        <w:t>ETF数据源领域正在经历若干发展趋势，量化团队应关注以下动向。</w:t>
      </w:r>
    </w:p>
    <w:p/>
    <w:p>
      <w:r>
        <w:rPr>
          <w:rFonts w:ascii="宋体" w:hAnsi="宋体" w:eastAsia="宋体"/>
          <w:sz w:val="22"/>
        </w:rPr>
        <w:t>数据实时性的持续提升：随着技术进步和市场期待的变化，数据供应商正在竞相提升数据推送的时效性。毫秒级甚至亚毫秒级的数据延迟正在成为专业数据商的标准配置，这对量化系统的基础设施提出了更高要求。</w:t>
      </w:r>
    </w:p>
    <w:p/>
    <w:p>
      <w:r>
        <w:rPr>
          <w:rFonts w:ascii="宋体" w:hAnsi="宋体" w:eastAsia="宋体"/>
          <w:sz w:val="22"/>
        </w:rPr>
        <w:t>另类数据与ETF分析的融合：市场参与者正在探索将另类数据（如卫星图像、社交媒体情绪、产业链数据等）与ETF分析相结合的可能性。这些新型数据源可能为ETF量化策略带来差异化的信息来源。</w:t>
      </w:r>
    </w:p>
    <w:p/>
    <w:p>
      <w:r>
        <w:rPr>
          <w:rFonts w:ascii="宋体" w:hAnsi="宋体" w:eastAsia="宋体"/>
          <w:sz w:val="22"/>
        </w:rPr>
        <w:t>数据合规与隐私监管的加强：随着数据保护法规的完善，ETF数据的获取和使用将面临更严格的合规要求。量化团队需要建立完善的数据治理框架，确保数据使用的合规性。</w:t>
      </w:r>
    </w:p>
    <w:p/>
    <w:p>
      <w:r>
        <w:rPr>
          <w:rFonts w:ascii="宋体" w:hAnsi="宋体" w:eastAsia="宋体"/>
          <w:sz w:val="22"/>
        </w:rPr>
        <w:t>开源生态的持续发展：AkShare等开源数据社区正在持续迭代，其数据覆盖范围和质量正在逐步提升。开源数据源与专业数据源的差距有望进一步缩小，为预算有限的团队提供更好的选择。</w:t>
      </w:r>
    </w:p>
    <w:p/>
    <w:p>
      <w:r>
        <w:rPr>
          <w:rFonts w:ascii="宋体" w:hAnsi="宋体" w:eastAsia="宋体"/>
          <w:sz w:val="22"/>
        </w:rPr>
        <w:t>---</w:t>
      </w:r>
    </w:p>
    <w:p/>
    <w:p>
      <w:pPr>
        <w:pStyle w:val="Heading2"/>
      </w:pPr>
      <w:r>
        <w:rPr>
          <w:rFonts w:ascii="黑体" w:hAnsi="黑体" w:eastAsia="黑体"/>
          <w:sz w:val="28"/>
        </w:rPr>
        <w:t>参考文献</w:t>
      </w:r>
    </w:p>
    <w:p/>
    <w:p>
      <w:r>
        <w:rPr>
          <w:rFonts w:ascii="宋体" w:hAnsi="宋体" w:eastAsia="宋体"/>
          <w:sz w:val="22"/>
        </w:rPr>
        <w:t xml:space="preserve"> 上海证券交易所。 ETF公告申购赎回清单[EB/OL]. https://www.sse.com.cn/disclosure/fund/etflist/. 2026.</w:t>
      </w:r>
    </w:p>
    <w:p/>
    <w:p>
      <w:r>
        <w:rPr>
          <w:rFonts w:ascii="宋体" w:hAnsi="宋体" w:eastAsia="宋体"/>
          <w:sz w:val="22"/>
        </w:rPr>
        <w:t xml:space="preserve"> 深圳证券交易所。 证券投资基金交易和申购赎回实施细则[EB/OL]. http://www.szse.cn/. 2024.</w:t>
      </w:r>
    </w:p>
    <w:p/>
    <w:p>
      <w:r>
        <w:rPr>
          <w:rFonts w:ascii="宋体" w:hAnsi="宋体" w:eastAsia="宋体"/>
          <w:sz w:val="22"/>
        </w:rPr>
        <w:t xml:space="preserve"> AkShare文档。 ETF行情数据接口[EB/OL]. https://akshare.akfamily.xyz/. 2026.</w:t>
      </w:r>
    </w:p>
    <w:p/>
    <w:p>
      <w:r>
        <w:rPr>
          <w:rFonts w:ascii="宋体" w:hAnsi="宋体" w:eastAsia="宋体"/>
          <w:sz w:val="22"/>
        </w:rPr>
        <w:t xml:space="preserve"> TuShare文档。 TuShare Pro金融数据接口[EB/OL]. https://tushare.pro/. 2026.</w:t>
      </w:r>
    </w:p>
    <w:p/>
    <w:p>
      <w:r>
        <w:rPr>
          <w:rFonts w:ascii="宋体" w:hAnsi="宋体" w:eastAsia="宋体"/>
          <w:sz w:val="22"/>
        </w:rPr>
        <w:t xml:space="preserve"> 百度百科。 交易型开放式指数基金[EB/OL]. https://baike.baidu.com/item/交易型开放式指数基金/3228983.</w:t>
      </w:r>
    </w:p>
    <w:p/>
    <w:p>
      <w:r>
        <w:rPr>
          <w:rFonts w:ascii="宋体" w:hAnsi="宋体" w:eastAsia="宋体"/>
          <w:sz w:val="22"/>
        </w:rPr>
        <w:t xml:space="preserve"> ETF.com。 首页-ETF数据中心[EB/OL]. https://www.etf.com.cn/. 2026.</w:t>
      </w:r>
    </w:p>
    <w:p/>
    <w:p>
      <w:r>
        <w:rPr>
          <w:rFonts w:ascii="宋体" w:hAnsi="宋体" w:eastAsia="宋体"/>
          <w:sz w:val="22"/>
        </w:rPr>
        <w:t xml:space="preserve"> ETFGI LLP。 ETFGI Research Reports[EB/OL]. https://etfgi.com/research. 2026.</w:t>
      </w:r>
    </w:p>
    <w:p/>
    <w:p>
      <w:r>
        <w:rPr>
          <w:rFonts w:ascii="宋体" w:hAnsi="宋体" w:eastAsia="宋体"/>
          <w:sz w:val="22"/>
        </w:rPr>
        <w:t xml:space="preserve"> Refinitiv。 Eikon金融市场数据平台[EB/OL]. https://www.refinitiv.com/en/products/eikon. 2026.</w:t>
      </w:r>
    </w:p>
    <w:p/>
    <w:p>
      <w:r>
        <w:rPr>
          <w:rFonts w:ascii="宋体" w:hAnsi="宋体" w:eastAsia="宋体"/>
          <w:sz w:val="22"/>
        </w:rPr>
        <w:t xml:space="preserve"> 百度百科。 路孚特[EB/OL]. https://baike.baidu.com/item/路孚特/23728868.</w:t>
      </w:r>
    </w:p>
    <w:p/>
    <w:p>
      <w:r>
        <w:rPr>
          <w:rFonts w:ascii="宋体" w:hAnsi="宋体" w:eastAsia="宋体"/>
          <w:sz w:val="22"/>
        </w:rPr>
        <w:t xml:space="preserve"> 东方财富网。 ETF持仓数据[EB/OL]. http://data.eastmoney.com/pmetal/etf/hj.html. 2026.</w:t>
      </w:r>
    </w:p>
    <w:p/>
    <w:p>
      <w:r>
        <w:rPr>
          <w:rFonts w:ascii="宋体" w:hAnsi="宋体" w:eastAsia="宋体"/>
          <w:sz w:val="22"/>
        </w:rPr>
        <w:t xml:space="preserve"> 天软科技。 ETF基金常见数据说明及提取[EB/OL]. http://www.tinysoft.com/TSDN/HelpDoc/display.tsl?id=15113. 2025.</w:t>
      </w:r>
    </w:p>
    <w:p/>
    <w:p>
      <w:r>
        <w:rPr>
          <w:rFonts w:ascii="宋体" w:hAnsi="宋体" w:eastAsia="宋体"/>
          <w:sz w:val="22"/>
        </w:rPr>
        <w:t xml:space="preserve"> 沧海数据。 全球ETF基金日线行情API接口[EB/OL]. https://blog.csdn.net/2401_83241598/article/details/136540657. 2024.</w:t>
      </w:r>
    </w:p>
    <w:p/>
    <w:p>
      <w:r>
        <w:rPr>
          <w:rFonts w:ascii="宋体" w:hAnsi="宋体" w:eastAsia="宋体"/>
          <w:sz w:val="22"/>
        </w:rPr>
        <w:t xml:space="preserve"> 百度百科。 申购赎回清单文件[EB/OL]. https://baike.baidu.com/item/申购赎回清单文件/60037470.</w:t>
      </w:r>
    </w:p>
    <w:p/>
    <w:p>
      <w:r>
        <w:rPr>
          <w:rFonts w:ascii="宋体" w:hAnsi="宋体" w:eastAsia="宋体"/>
          <w:sz w:val="22"/>
        </w:rPr>
        <w:t xml:space="preserve"> ETFDataHub。 ETF数据中心Python库[EB/OL]. https://pypi.org/project/ETFDataHub/. 2026.</w:t>
      </w:r>
    </w:p>
    <w:p/>
    <w:p>
      <w:r>
        <w:rPr>
          <w:rFonts w:ascii="宋体" w:hAnsi="宋体" w:eastAsia="宋体"/>
          <w:sz w:val="22"/>
        </w:rPr>
        <w:t xml:space="preserve"> 国信证券。 ETFAttributesProvider和FundConstituentsProvider查询指南[EB/OL]. https://www.guosen.com.cn/gxzq/tradestation/help/order/order19.html.</w:t>
      </w:r>
    </w:p>
    <w:p/>
    <w:p>
      <w:r>
        <w:rPr>
          <w:rFonts w:ascii="宋体" w:hAnsi="宋体" w:eastAsia="宋体"/>
          <w:sz w:val="22"/>
        </w:rPr>
        <w:t xml:space="preserve"> 人人都是产品经理。 ETF申购赎回清单PCF全解析[EB/OL]. https://www.sohu.com/a/875136738_122362512. 2025.</w:t>
      </w:r>
    </w:p>
    <w:p/>
    <w:p>
      <w:r>
        <w:rPr>
          <w:rFonts w:ascii="宋体" w:hAnsi="宋体" w:eastAsia="宋体"/>
          <w:sz w:val="22"/>
        </w:rPr>
        <w:t xml:space="preserve"> NYSE。 Exchange Proprietary Market Data - Integrated Feed[EB/OL]. https://www.nyse.com/market-data/real-time/integrated-feed.</w:t>
      </w:r>
    </w:p>
    <w:p/>
    <w:p>
      <w:r>
        <w:rPr>
          <w:rFonts w:ascii="宋体" w:hAnsi="宋体" w:eastAsia="宋体"/>
          <w:sz w:val="22"/>
        </w:rPr>
        <w:t xml:space="preserve"> 叩富网。 量化交易数据的获取途径[EB/OL]. https://licai.cofool.com/Mobile/user/guide_view_2995926.html.</w:t>
      </w:r>
    </w:p>
    <w:p/>
    <w:p>
      <w:r>
        <w:rPr>
          <w:rFonts w:ascii="宋体" w:hAnsi="宋体" w:eastAsia="宋体"/>
          <w:sz w:val="22"/>
        </w:rPr>
        <w:t xml:space="preserve"> 今日头条。 三大金融数据接口对比：散户如何零成本获取机构级数据[EB/OL]. https://m.toutiaoo.com/is/GFj6bMZi2ig/. 2025.</w:t>
      </w:r>
    </w:p>
    <w:p/>
    <w:p>
      <w:r>
        <w:rPr>
          <w:rFonts w:ascii="宋体" w:hAnsi="宋体" w:eastAsia="宋体"/>
          <w:sz w:val="22"/>
        </w:rPr>
        <w:t xml:space="preserve"> 指股网。 量化交易的实时数据通常从哪些渠道获取?[EB/OL]. https://www.zhiguf.com/questions_detail/7625689.</w:t>
      </w:r>
    </w:p>
    <w:p/>
    <w:p>
      <w:r>
        <w:rPr>
          <w:rFonts w:ascii="宋体" w:hAnsi="宋体" w:eastAsia="宋体"/>
          <w:sz w:val="22"/>
        </w:rPr>
        <w:t xml:space="preserve"> 雪球。 沧海数据ETF基金数据API接口大全[EB/OL]. https://xueqiu.com/7403112325/280997021. 2024.</w:t>
      </w:r>
    </w:p>
    <w:p/>
    <w:p>
      <w:r>
        <w:rPr>
          <w:rFonts w:ascii="宋体" w:hAnsi="宋体" w:eastAsia="宋体"/>
          <w:sz w:val="22"/>
        </w:rPr>
        <w:t xml:space="preserve"> CSDN。 ETF定投数据分析[EB/OL]. https://blog.csdn.net/zwdnet/article/details/86659147.</w:t>
      </w:r>
    </w:p>
    <w:p/>
    <w:p>
      <w:r>
        <w:rPr>
          <w:rFonts w:ascii="宋体" w:hAnsi="宋体" w:eastAsia="宋体"/>
          <w:sz w:val="22"/>
        </w:rPr>
        <w:t xml:space="preserve"> 新浪财经。 ETF资金榜分析[EB/OL]. https://finance.sina.com.cn/jjxw/. 2024-2025.</w:t>
      </w:r>
    </w:p>
    <w:p/>
    <w:p>
      <w:r>
        <w:rPr>
          <w:rFonts w:ascii="宋体" w:hAnsi="宋体" w:eastAsia="宋体"/>
          <w:sz w:val="22"/>
        </w:rPr>
        <w:t>---</w:t>
      </w:r>
    </w:p>
    <w:p/>
    <w:p>
      <w:r>
        <w:rPr>
          <w:rFonts w:ascii="宋体" w:hAnsi="宋体" w:eastAsia="宋体"/>
          <w:sz w:val="18"/>
        </w:rPr>
        <w:t>*报告生成时间：2026年5月31日*</w:t>
      </w:r>
    </w:p>
    <w:p/>
    <w:p>
      <w:r>
        <w:rPr>
          <w:rFonts w:ascii="宋体" w:hAnsi="宋体" w:eastAsia="宋体"/>
          <w:sz w:val="22"/>
        </w:rPr>
        <w:t>本报告仅供参考，不构成投资建议。数据源的准确性和时效性以供应商官方信息为准。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