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01"/>
        <w:gridCol w:w="1093"/>
        <w:gridCol w:w="5612"/>
      </w:tblGrid>
      <w:tr w14:paraId="30993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250" w:hRule="atLeast"/>
        </w:trPr>
        <w:tc>
          <w:tcPr>
            <w:tcW w:w="0" w:type="auto"/>
            <w:shd w:val="clear"/>
            <w:tcMar>
              <w:top w:w="100" w:type="dxa"/>
              <w:left w:w="100" w:type="dxa"/>
              <w:bottom w:w="100" w:type="dxa"/>
              <w:right w:w="100" w:type="dxa"/>
            </w:tcMar>
            <w:vAlign w:val="top"/>
          </w:tcPr>
          <w:p w14:paraId="69BE1BE7">
            <w:pPr>
              <w:pStyle w:val="2"/>
              <w:keepNext w:val="0"/>
              <w:keepLines w:val="0"/>
              <w:widowControl/>
              <w:suppressLineNumbers w:val="0"/>
              <w:bidi w:val="0"/>
              <w:spacing w:before="0" w:beforeAutospacing="0" w:after="0" w:afterAutospacing="0" w:line="14" w:lineRule="atLeast"/>
              <w:jc w:val="center"/>
            </w:pPr>
            <w:r>
              <w:rPr>
                <w:rFonts w:ascii="Arial" w:hAnsi="Arial" w:cs="Arial"/>
                <w:b/>
                <w:bCs/>
                <w:i w:val="0"/>
                <w:iCs w:val="0"/>
                <w:color w:val="000000"/>
                <w:sz w:val="22"/>
                <w:szCs w:val="22"/>
                <w:u w:val="none"/>
                <w:bdr w:val="none" w:color="auto" w:sz="0" w:space="0"/>
                <w:vertAlign w:val="baseline"/>
              </w:rPr>
              <w:t>Domain</w:t>
            </w:r>
          </w:p>
        </w:tc>
        <w:tc>
          <w:tcPr>
            <w:tcW w:w="0" w:type="auto"/>
            <w:shd w:val="clear"/>
            <w:tcMar>
              <w:top w:w="100" w:type="dxa"/>
              <w:left w:w="100" w:type="dxa"/>
              <w:bottom w:w="100" w:type="dxa"/>
              <w:right w:w="100" w:type="dxa"/>
            </w:tcMar>
            <w:vAlign w:val="top"/>
          </w:tcPr>
          <w:p w14:paraId="48BF91BF">
            <w:pPr>
              <w:pStyle w:val="2"/>
              <w:keepNext w:val="0"/>
              <w:keepLines w:val="0"/>
              <w:widowControl/>
              <w:suppressLineNumbers w:val="0"/>
              <w:bidi w:val="0"/>
              <w:spacing w:before="0" w:beforeAutospacing="0" w:after="0" w:afterAutospacing="0" w:line="14" w:lineRule="atLeast"/>
              <w:jc w:val="center"/>
            </w:pPr>
            <w:r>
              <w:rPr>
                <w:rFonts w:hint="default" w:ascii="Arial" w:hAnsi="Arial" w:cs="Arial"/>
                <w:b/>
                <w:bCs/>
                <w:i w:val="0"/>
                <w:iCs w:val="0"/>
                <w:color w:val="000000"/>
                <w:sz w:val="22"/>
                <w:szCs w:val="22"/>
                <w:u w:val="none"/>
                <w:bdr w:val="none" w:color="auto" w:sz="0" w:space="0"/>
                <w:vertAlign w:val="baseline"/>
              </w:rPr>
              <w:t>Quantity</w:t>
            </w:r>
          </w:p>
        </w:tc>
        <w:tc>
          <w:tcPr>
            <w:tcW w:w="0" w:type="auto"/>
            <w:shd w:val="clear"/>
            <w:tcMar>
              <w:top w:w="100" w:type="dxa"/>
              <w:left w:w="100" w:type="dxa"/>
              <w:bottom w:w="100" w:type="dxa"/>
              <w:right w:w="100" w:type="dxa"/>
            </w:tcMar>
            <w:vAlign w:val="top"/>
          </w:tcPr>
          <w:p w14:paraId="5311C091">
            <w:pPr>
              <w:pStyle w:val="2"/>
              <w:keepNext w:val="0"/>
              <w:keepLines w:val="0"/>
              <w:widowControl/>
              <w:suppressLineNumbers w:val="0"/>
              <w:bidi w:val="0"/>
              <w:spacing w:before="0" w:beforeAutospacing="0" w:after="0" w:afterAutospacing="0" w:line="14" w:lineRule="atLeast"/>
              <w:jc w:val="center"/>
            </w:pPr>
            <w:r>
              <w:rPr>
                <w:rFonts w:hint="default" w:ascii="Arial" w:hAnsi="Arial" w:cs="Arial"/>
                <w:b/>
                <w:bCs/>
                <w:i w:val="0"/>
                <w:iCs w:val="0"/>
                <w:color w:val="000000"/>
                <w:sz w:val="22"/>
                <w:szCs w:val="22"/>
                <w:u w:val="none"/>
                <w:bdr w:val="none" w:color="auto" w:sz="0" w:space="0"/>
                <w:vertAlign w:val="baseline"/>
              </w:rPr>
              <w:t>Frequent Scenarios</w:t>
            </w:r>
          </w:p>
        </w:tc>
      </w:tr>
      <w:tr w14:paraId="4E2CF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5" w:hRule="atLeast"/>
        </w:trPr>
        <w:tc>
          <w:tcPr>
            <w:tcW w:w="0" w:type="auto"/>
            <w:shd w:val="clear"/>
            <w:tcMar>
              <w:top w:w="100" w:type="dxa"/>
              <w:left w:w="100" w:type="dxa"/>
              <w:bottom w:w="100" w:type="dxa"/>
              <w:right w:w="100" w:type="dxa"/>
            </w:tcMar>
            <w:vAlign w:val="top"/>
          </w:tcPr>
          <w:p w14:paraId="0BF88990">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Sales</w:t>
            </w:r>
          </w:p>
        </w:tc>
        <w:tc>
          <w:tcPr>
            <w:tcW w:w="0" w:type="auto"/>
            <w:shd w:val="clear"/>
            <w:tcMar>
              <w:top w:w="100" w:type="dxa"/>
              <w:left w:w="100" w:type="dxa"/>
              <w:bottom w:w="100" w:type="dxa"/>
              <w:right w:w="100" w:type="dxa"/>
            </w:tcMar>
            <w:vAlign w:val="top"/>
          </w:tcPr>
          <w:p w14:paraId="0F6B9F09">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50–60</w:t>
            </w:r>
          </w:p>
        </w:tc>
        <w:tc>
          <w:tcPr>
            <w:tcW w:w="0" w:type="auto"/>
            <w:shd w:val="clear"/>
            <w:tcMar>
              <w:top w:w="100" w:type="dxa"/>
              <w:left w:w="100" w:type="dxa"/>
              <w:bottom w:w="100" w:type="dxa"/>
              <w:right w:w="100" w:type="dxa"/>
            </w:tcMar>
            <w:vAlign w:val="top"/>
          </w:tcPr>
          <w:p w14:paraId="139DED45">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Discovery Prep、Lead Qualification、Call Review、Stakeholder Mapping、Objection Handling、Follow-up、Pipeline Review、Cold Email、</w:t>
            </w:r>
          </w:p>
        </w:tc>
      </w:tr>
      <w:tr w14:paraId="4A9A86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90" w:hRule="atLeast"/>
        </w:trPr>
        <w:tc>
          <w:tcPr>
            <w:tcW w:w="0" w:type="auto"/>
            <w:shd w:val="clear"/>
            <w:tcMar>
              <w:top w:w="100" w:type="dxa"/>
              <w:left w:w="100" w:type="dxa"/>
              <w:bottom w:w="100" w:type="dxa"/>
              <w:right w:w="100" w:type="dxa"/>
            </w:tcMar>
            <w:vAlign w:val="top"/>
          </w:tcPr>
          <w:p w14:paraId="4D2A0182">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Marketing</w:t>
            </w:r>
          </w:p>
        </w:tc>
        <w:tc>
          <w:tcPr>
            <w:tcW w:w="0" w:type="auto"/>
            <w:shd w:val="clear"/>
            <w:tcMar>
              <w:top w:w="100" w:type="dxa"/>
              <w:left w:w="100" w:type="dxa"/>
              <w:bottom w:w="100" w:type="dxa"/>
              <w:right w:w="100" w:type="dxa"/>
            </w:tcMar>
            <w:vAlign w:val="top"/>
          </w:tcPr>
          <w:p w14:paraId="16B1C03F">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40–50</w:t>
            </w:r>
          </w:p>
        </w:tc>
        <w:tc>
          <w:tcPr>
            <w:tcW w:w="0" w:type="auto"/>
            <w:shd w:val="clear"/>
            <w:tcMar>
              <w:top w:w="100" w:type="dxa"/>
              <w:left w:w="100" w:type="dxa"/>
              <w:bottom w:w="100" w:type="dxa"/>
              <w:right w:w="100" w:type="dxa"/>
            </w:tcMar>
            <w:vAlign w:val="top"/>
          </w:tcPr>
          <w:p w14:paraId="55EACD2E">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Positioning Review、Campaign Brief、Brand Voice Review、Creative Critique、Competitor Analysis、Launch Readiness、Content Repurposing、PPT、Image Generation、Video Generation、Video Editing</w:t>
            </w:r>
          </w:p>
        </w:tc>
      </w:tr>
      <w:tr w14:paraId="31ECA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5" w:hRule="atLeast"/>
        </w:trPr>
        <w:tc>
          <w:tcPr>
            <w:tcW w:w="0" w:type="auto"/>
            <w:shd w:val="clear"/>
            <w:tcMar>
              <w:top w:w="100" w:type="dxa"/>
              <w:left w:w="100" w:type="dxa"/>
              <w:bottom w:w="100" w:type="dxa"/>
              <w:right w:w="100" w:type="dxa"/>
            </w:tcMar>
            <w:vAlign w:val="top"/>
          </w:tcPr>
          <w:p w14:paraId="0BC90A95">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Recruiting</w:t>
            </w:r>
          </w:p>
        </w:tc>
        <w:tc>
          <w:tcPr>
            <w:tcW w:w="0" w:type="auto"/>
            <w:shd w:val="clear"/>
            <w:tcMar>
              <w:top w:w="100" w:type="dxa"/>
              <w:left w:w="100" w:type="dxa"/>
              <w:bottom w:w="100" w:type="dxa"/>
              <w:right w:w="100" w:type="dxa"/>
            </w:tcMar>
            <w:vAlign w:val="top"/>
          </w:tcPr>
          <w:p w14:paraId="62850574">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25–35</w:t>
            </w:r>
          </w:p>
        </w:tc>
        <w:tc>
          <w:tcPr>
            <w:tcW w:w="0" w:type="auto"/>
            <w:shd w:val="clear"/>
            <w:tcMar>
              <w:top w:w="100" w:type="dxa"/>
              <w:left w:w="100" w:type="dxa"/>
              <w:bottom w:w="100" w:type="dxa"/>
              <w:right w:w="100" w:type="dxa"/>
            </w:tcMar>
            <w:vAlign w:val="top"/>
          </w:tcPr>
          <w:p w14:paraId="5ECA619E">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Role Intake、Resume Calibration、Candidate Screening、Interview Guide、Interview Debrief、Candidate Ranking</w:t>
            </w:r>
          </w:p>
        </w:tc>
      </w:tr>
      <w:tr w14:paraId="17316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90" w:hRule="atLeast"/>
        </w:trPr>
        <w:tc>
          <w:tcPr>
            <w:tcW w:w="0" w:type="auto"/>
            <w:shd w:val="clear"/>
            <w:tcMar>
              <w:top w:w="100" w:type="dxa"/>
              <w:left w:w="100" w:type="dxa"/>
              <w:bottom w:w="100" w:type="dxa"/>
              <w:right w:w="100" w:type="dxa"/>
            </w:tcMar>
            <w:vAlign w:val="top"/>
          </w:tcPr>
          <w:p w14:paraId="7DDF50ED">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Product / Research</w:t>
            </w:r>
          </w:p>
        </w:tc>
        <w:tc>
          <w:tcPr>
            <w:tcW w:w="0" w:type="auto"/>
            <w:shd w:val="clear"/>
            <w:tcMar>
              <w:top w:w="100" w:type="dxa"/>
              <w:left w:w="100" w:type="dxa"/>
              <w:bottom w:w="100" w:type="dxa"/>
              <w:right w:w="100" w:type="dxa"/>
            </w:tcMar>
            <w:vAlign w:val="top"/>
          </w:tcPr>
          <w:p w14:paraId="31407F70">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30–40</w:t>
            </w:r>
          </w:p>
        </w:tc>
        <w:tc>
          <w:tcPr>
            <w:tcW w:w="0" w:type="auto"/>
            <w:shd w:val="clear"/>
            <w:tcMar>
              <w:top w:w="100" w:type="dxa"/>
              <w:left w:w="100" w:type="dxa"/>
              <w:bottom w:w="100" w:type="dxa"/>
              <w:right w:w="100" w:type="dxa"/>
            </w:tcMar>
            <w:vAlign w:val="top"/>
          </w:tcPr>
          <w:p w14:paraId="3D4C904D">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Customer Interview、Interview Synthesis、PRD、Feedback Clustering、Market Research、Competitive Analysis、Prioritization, quantitative forecasting</w:t>
            </w:r>
          </w:p>
        </w:tc>
      </w:tr>
      <w:tr w14:paraId="14024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5" w:hRule="atLeast"/>
        </w:trPr>
        <w:tc>
          <w:tcPr>
            <w:tcW w:w="0" w:type="auto"/>
            <w:shd w:val="clear"/>
            <w:tcMar>
              <w:top w:w="100" w:type="dxa"/>
              <w:left w:w="100" w:type="dxa"/>
              <w:bottom w:w="100" w:type="dxa"/>
              <w:right w:w="100" w:type="dxa"/>
            </w:tcMar>
            <w:vAlign w:val="top"/>
          </w:tcPr>
          <w:p w14:paraId="017C75DC">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Operations / Support</w:t>
            </w:r>
          </w:p>
        </w:tc>
        <w:tc>
          <w:tcPr>
            <w:tcW w:w="0" w:type="auto"/>
            <w:shd w:val="clear"/>
            <w:tcMar>
              <w:top w:w="100" w:type="dxa"/>
              <w:left w:w="100" w:type="dxa"/>
              <w:bottom w:w="100" w:type="dxa"/>
              <w:right w:w="100" w:type="dxa"/>
            </w:tcMar>
            <w:vAlign w:val="top"/>
          </w:tcPr>
          <w:p w14:paraId="3563D250">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25–35</w:t>
            </w:r>
          </w:p>
        </w:tc>
        <w:tc>
          <w:tcPr>
            <w:tcW w:w="0" w:type="auto"/>
            <w:shd w:val="clear"/>
            <w:tcMar>
              <w:top w:w="100" w:type="dxa"/>
              <w:left w:w="100" w:type="dxa"/>
              <w:bottom w:w="100" w:type="dxa"/>
              <w:right w:w="100" w:type="dxa"/>
            </w:tcMar>
            <w:vAlign w:val="top"/>
          </w:tcPr>
          <w:p w14:paraId="5FAE5FFA">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Support QA、Escalation Triage、Customer Onboarding、SOP Review、Weekly Ops Review、Incident / Issue Summary</w:t>
            </w:r>
          </w:p>
        </w:tc>
      </w:tr>
      <w:tr w14:paraId="63B1E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5" w:hRule="atLeast"/>
        </w:trPr>
        <w:tc>
          <w:tcPr>
            <w:tcW w:w="0" w:type="auto"/>
            <w:shd w:val="clear"/>
            <w:tcMar>
              <w:top w:w="100" w:type="dxa"/>
              <w:left w:w="100" w:type="dxa"/>
              <w:bottom w:w="100" w:type="dxa"/>
              <w:right w:w="100" w:type="dxa"/>
            </w:tcMar>
            <w:vAlign w:val="top"/>
          </w:tcPr>
          <w:p w14:paraId="273DEFED">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Emotional</w:t>
            </w:r>
          </w:p>
        </w:tc>
        <w:tc>
          <w:tcPr>
            <w:tcW w:w="0" w:type="auto"/>
            <w:shd w:val="clear"/>
            <w:tcMar>
              <w:top w:w="100" w:type="dxa"/>
              <w:left w:w="100" w:type="dxa"/>
              <w:bottom w:w="100" w:type="dxa"/>
              <w:right w:w="100" w:type="dxa"/>
            </w:tcMar>
            <w:vAlign w:val="top"/>
          </w:tcPr>
          <w:p w14:paraId="55B97BCC">
            <w:pPr>
              <w:keepNext w:val="0"/>
              <w:keepLines w:val="0"/>
              <w:widowControl/>
              <w:suppressLineNumbers w:val="0"/>
              <w:bidi w:val="0"/>
              <w:jc w:val="left"/>
              <w:textAlignment w:val="top"/>
            </w:pPr>
          </w:p>
        </w:tc>
        <w:tc>
          <w:tcPr>
            <w:tcW w:w="0" w:type="auto"/>
            <w:shd w:val="clear"/>
            <w:tcMar>
              <w:top w:w="100" w:type="dxa"/>
              <w:left w:w="100" w:type="dxa"/>
              <w:bottom w:w="100" w:type="dxa"/>
              <w:right w:w="100" w:type="dxa"/>
            </w:tcMar>
            <w:vAlign w:val="top"/>
          </w:tcPr>
          <w:p w14:paraId="234A6B1F">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Therapy, Founders’ Coach, Giving Feedback, Corporate Lingo</w:t>
            </w:r>
          </w:p>
        </w:tc>
      </w:tr>
      <w:tr w14:paraId="64505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5" w:hRule="atLeast"/>
        </w:trPr>
        <w:tc>
          <w:tcPr>
            <w:tcW w:w="0" w:type="auto"/>
            <w:shd w:val="clear"/>
            <w:tcMar>
              <w:top w:w="100" w:type="dxa"/>
              <w:left w:w="100" w:type="dxa"/>
              <w:bottom w:w="100" w:type="dxa"/>
              <w:right w:w="100" w:type="dxa"/>
            </w:tcMar>
            <w:vAlign w:val="top"/>
          </w:tcPr>
          <w:p w14:paraId="2AB8CAE5">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Legal/ Documentation</w:t>
            </w:r>
          </w:p>
        </w:tc>
        <w:tc>
          <w:tcPr>
            <w:tcW w:w="0" w:type="auto"/>
            <w:shd w:val="clear"/>
            <w:tcMar>
              <w:top w:w="100" w:type="dxa"/>
              <w:left w:w="100" w:type="dxa"/>
              <w:bottom w:w="100" w:type="dxa"/>
              <w:right w:w="100" w:type="dxa"/>
            </w:tcMar>
            <w:vAlign w:val="top"/>
          </w:tcPr>
          <w:p w14:paraId="57E2EC9F">
            <w:pPr>
              <w:keepNext w:val="0"/>
              <w:keepLines w:val="0"/>
              <w:widowControl/>
              <w:suppressLineNumbers w:val="0"/>
              <w:bidi w:val="0"/>
              <w:jc w:val="left"/>
              <w:textAlignment w:val="top"/>
            </w:pPr>
          </w:p>
        </w:tc>
        <w:tc>
          <w:tcPr>
            <w:tcW w:w="0" w:type="auto"/>
            <w:shd w:val="clear"/>
            <w:tcMar>
              <w:top w:w="100" w:type="dxa"/>
              <w:left w:w="100" w:type="dxa"/>
              <w:bottom w:w="100" w:type="dxa"/>
              <w:right w:w="100" w:type="dxa"/>
            </w:tcMar>
            <w:vAlign w:val="top"/>
          </w:tcPr>
          <w:p w14:paraId="2104BE9A">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Safety, compliance, and audit </w:t>
            </w:r>
          </w:p>
        </w:tc>
      </w:tr>
      <w:tr w14:paraId="1EF46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5" w:hRule="atLeast"/>
        </w:trPr>
        <w:tc>
          <w:tcPr>
            <w:tcW w:w="0" w:type="auto"/>
            <w:shd w:val="clear"/>
            <w:tcMar>
              <w:top w:w="100" w:type="dxa"/>
              <w:left w:w="100" w:type="dxa"/>
              <w:bottom w:w="100" w:type="dxa"/>
              <w:right w:w="100" w:type="dxa"/>
            </w:tcMar>
            <w:vAlign w:val="top"/>
          </w:tcPr>
          <w:p w14:paraId="248137FF">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Fundraising</w:t>
            </w:r>
          </w:p>
        </w:tc>
        <w:tc>
          <w:tcPr>
            <w:tcW w:w="0" w:type="auto"/>
            <w:shd w:val="clear"/>
            <w:tcMar>
              <w:top w:w="100" w:type="dxa"/>
              <w:left w:w="100" w:type="dxa"/>
              <w:bottom w:w="100" w:type="dxa"/>
              <w:right w:w="100" w:type="dxa"/>
            </w:tcMar>
            <w:vAlign w:val="top"/>
          </w:tcPr>
          <w:p w14:paraId="211FA9A3">
            <w:pPr>
              <w:keepNext w:val="0"/>
              <w:keepLines w:val="0"/>
              <w:widowControl/>
              <w:suppressLineNumbers w:val="0"/>
              <w:bidi w:val="0"/>
              <w:spacing w:after="240" w:afterAutospacing="0"/>
              <w:jc w:val="left"/>
              <w:textAlignment w:val="top"/>
            </w:pPr>
          </w:p>
        </w:tc>
        <w:tc>
          <w:tcPr>
            <w:tcW w:w="0" w:type="auto"/>
            <w:shd w:val="clear"/>
            <w:tcMar>
              <w:top w:w="100" w:type="dxa"/>
              <w:left w:w="100" w:type="dxa"/>
              <w:bottom w:w="100" w:type="dxa"/>
              <w:right w:w="100" w:type="dxa"/>
            </w:tcMar>
            <w:vAlign w:val="top"/>
          </w:tcPr>
          <w:p w14:paraId="590AF7AE">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Deck</w:t>
            </w:r>
          </w:p>
        </w:tc>
      </w:tr>
      <w:tr w14:paraId="0BFAF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5" w:hRule="atLeast"/>
        </w:trPr>
        <w:tc>
          <w:tcPr>
            <w:tcW w:w="0" w:type="auto"/>
            <w:shd w:val="clear"/>
            <w:tcMar>
              <w:top w:w="100" w:type="dxa"/>
              <w:left w:w="100" w:type="dxa"/>
              <w:bottom w:w="100" w:type="dxa"/>
              <w:right w:w="100" w:type="dxa"/>
            </w:tcMar>
            <w:vAlign w:val="top"/>
          </w:tcPr>
          <w:p w14:paraId="2FB4A70B">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Executive Assistant</w:t>
            </w:r>
          </w:p>
        </w:tc>
        <w:tc>
          <w:tcPr>
            <w:tcW w:w="0" w:type="auto"/>
            <w:shd w:val="clear"/>
            <w:tcMar>
              <w:top w:w="100" w:type="dxa"/>
              <w:left w:w="100" w:type="dxa"/>
              <w:bottom w:w="100" w:type="dxa"/>
              <w:right w:w="100" w:type="dxa"/>
            </w:tcMar>
            <w:vAlign w:val="top"/>
          </w:tcPr>
          <w:p w14:paraId="6B3B56B0">
            <w:pPr>
              <w:keepNext w:val="0"/>
              <w:keepLines w:val="0"/>
              <w:widowControl/>
              <w:suppressLineNumbers w:val="0"/>
              <w:bidi w:val="0"/>
              <w:jc w:val="left"/>
              <w:textAlignment w:val="top"/>
            </w:pPr>
          </w:p>
        </w:tc>
        <w:tc>
          <w:tcPr>
            <w:tcW w:w="0" w:type="auto"/>
            <w:shd w:val="clear"/>
            <w:tcMar>
              <w:top w:w="100" w:type="dxa"/>
              <w:left w:w="100" w:type="dxa"/>
              <w:bottom w:w="100" w:type="dxa"/>
              <w:right w:w="100" w:type="dxa"/>
            </w:tcMar>
            <w:vAlign w:val="top"/>
          </w:tcPr>
          <w:p w14:paraId="750314B8">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Email Drafting, Calendar Invites, Inbox Management,   Translation, meeting transcription/summarization/turning to todos </w:t>
            </w:r>
          </w:p>
        </w:tc>
      </w:tr>
      <w:tr w14:paraId="515C3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5" w:hRule="atLeast"/>
        </w:trPr>
        <w:tc>
          <w:tcPr>
            <w:tcW w:w="0" w:type="auto"/>
            <w:shd w:val="clear"/>
            <w:tcMar>
              <w:top w:w="100" w:type="dxa"/>
              <w:left w:w="100" w:type="dxa"/>
              <w:bottom w:w="100" w:type="dxa"/>
              <w:right w:w="100" w:type="dxa"/>
            </w:tcMar>
            <w:vAlign w:val="top"/>
          </w:tcPr>
          <w:p w14:paraId="44994B38">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Finance</w:t>
            </w:r>
          </w:p>
        </w:tc>
        <w:tc>
          <w:tcPr>
            <w:tcW w:w="0" w:type="auto"/>
            <w:shd w:val="clear"/>
            <w:tcMar>
              <w:top w:w="100" w:type="dxa"/>
              <w:left w:w="100" w:type="dxa"/>
              <w:bottom w:w="100" w:type="dxa"/>
              <w:right w:w="100" w:type="dxa"/>
            </w:tcMar>
            <w:vAlign w:val="top"/>
          </w:tcPr>
          <w:p w14:paraId="7FB88B21">
            <w:pPr>
              <w:keepNext w:val="0"/>
              <w:keepLines w:val="0"/>
              <w:widowControl/>
              <w:suppressLineNumbers w:val="0"/>
              <w:bidi w:val="0"/>
              <w:jc w:val="left"/>
              <w:textAlignment w:val="top"/>
            </w:pPr>
          </w:p>
        </w:tc>
        <w:tc>
          <w:tcPr>
            <w:tcW w:w="0" w:type="auto"/>
            <w:shd w:val="clear"/>
            <w:tcMar>
              <w:top w:w="100" w:type="dxa"/>
              <w:left w:w="100" w:type="dxa"/>
              <w:bottom w:w="100" w:type="dxa"/>
              <w:right w:w="100" w:type="dxa"/>
            </w:tcMar>
            <w:vAlign w:val="top"/>
          </w:tcPr>
          <w:p w14:paraId="1AC02296">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Accounting Tax paying</w:t>
            </w:r>
          </w:p>
        </w:tc>
      </w:tr>
      <w:tr w14:paraId="60923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5" w:hRule="atLeast"/>
        </w:trPr>
        <w:tc>
          <w:tcPr>
            <w:tcW w:w="0" w:type="auto"/>
            <w:shd w:val="clear"/>
            <w:tcMar>
              <w:top w:w="100" w:type="dxa"/>
              <w:left w:w="100" w:type="dxa"/>
              <w:bottom w:w="100" w:type="dxa"/>
              <w:right w:w="100" w:type="dxa"/>
            </w:tcMar>
            <w:vAlign w:val="top"/>
          </w:tcPr>
          <w:p w14:paraId="653F3337">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Data</w:t>
            </w:r>
          </w:p>
        </w:tc>
        <w:tc>
          <w:tcPr>
            <w:tcW w:w="0" w:type="auto"/>
            <w:shd w:val="clear"/>
            <w:tcMar>
              <w:top w:w="100" w:type="dxa"/>
              <w:left w:w="100" w:type="dxa"/>
              <w:bottom w:w="100" w:type="dxa"/>
              <w:right w:w="100" w:type="dxa"/>
            </w:tcMar>
            <w:vAlign w:val="top"/>
          </w:tcPr>
          <w:p w14:paraId="3BEBB4B8">
            <w:pPr>
              <w:keepNext w:val="0"/>
              <w:keepLines w:val="0"/>
              <w:widowControl/>
              <w:suppressLineNumbers w:val="0"/>
              <w:bidi w:val="0"/>
              <w:jc w:val="left"/>
              <w:textAlignment w:val="top"/>
            </w:pPr>
          </w:p>
        </w:tc>
        <w:tc>
          <w:tcPr>
            <w:tcW w:w="0" w:type="auto"/>
            <w:shd w:val="clear"/>
            <w:tcMar>
              <w:top w:w="100" w:type="dxa"/>
              <w:left w:w="100" w:type="dxa"/>
              <w:bottom w:w="100" w:type="dxa"/>
              <w:right w:w="100" w:type="dxa"/>
            </w:tcMar>
            <w:vAlign w:val="top"/>
          </w:tcPr>
          <w:p w14:paraId="752619FB">
            <w:pPr>
              <w:keepNext w:val="0"/>
              <w:keepLines w:val="0"/>
              <w:widowControl/>
              <w:suppressLineNumbers w:val="0"/>
              <w:bidi w:val="0"/>
              <w:jc w:val="left"/>
              <w:textAlignment w:val="top"/>
            </w:pPr>
          </w:p>
        </w:tc>
      </w:tr>
      <w:tr w14:paraId="4134E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5" w:hRule="atLeast"/>
        </w:trPr>
        <w:tc>
          <w:tcPr>
            <w:tcW w:w="0" w:type="auto"/>
            <w:shd w:val="clear"/>
            <w:tcMar>
              <w:top w:w="100" w:type="dxa"/>
              <w:left w:w="100" w:type="dxa"/>
              <w:bottom w:w="100" w:type="dxa"/>
              <w:right w:w="100" w:type="dxa"/>
            </w:tcMar>
            <w:vAlign w:val="top"/>
          </w:tcPr>
          <w:p w14:paraId="7696750F">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Communication</w:t>
            </w:r>
          </w:p>
        </w:tc>
        <w:tc>
          <w:tcPr>
            <w:tcW w:w="0" w:type="auto"/>
            <w:shd w:val="clear"/>
            <w:tcMar>
              <w:top w:w="100" w:type="dxa"/>
              <w:left w:w="100" w:type="dxa"/>
              <w:bottom w:w="100" w:type="dxa"/>
              <w:right w:w="100" w:type="dxa"/>
            </w:tcMar>
            <w:vAlign w:val="top"/>
          </w:tcPr>
          <w:p w14:paraId="017A71B4">
            <w:pPr>
              <w:keepNext w:val="0"/>
              <w:keepLines w:val="0"/>
              <w:widowControl/>
              <w:suppressLineNumbers w:val="0"/>
              <w:bidi w:val="0"/>
              <w:jc w:val="left"/>
              <w:textAlignment w:val="top"/>
            </w:pPr>
          </w:p>
        </w:tc>
        <w:tc>
          <w:tcPr>
            <w:tcW w:w="0" w:type="auto"/>
            <w:shd w:val="clear"/>
            <w:tcMar>
              <w:top w:w="100" w:type="dxa"/>
              <w:left w:w="100" w:type="dxa"/>
              <w:bottom w:w="100" w:type="dxa"/>
              <w:right w:w="100" w:type="dxa"/>
            </w:tcMar>
            <w:vAlign w:val="top"/>
          </w:tcPr>
          <w:p w14:paraId="35DDBBA6">
            <w:pPr>
              <w:keepNext w:val="0"/>
              <w:keepLines w:val="0"/>
              <w:widowControl/>
              <w:suppressLineNumbers w:val="0"/>
              <w:bidi w:val="0"/>
              <w:jc w:val="left"/>
              <w:textAlignment w:val="top"/>
            </w:pPr>
          </w:p>
        </w:tc>
      </w:tr>
      <w:tr w14:paraId="2C0BD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5" w:hRule="atLeast"/>
        </w:trPr>
        <w:tc>
          <w:tcPr>
            <w:tcW w:w="0" w:type="auto"/>
            <w:shd w:val="clear"/>
            <w:tcMar>
              <w:top w:w="100" w:type="dxa"/>
              <w:left w:w="100" w:type="dxa"/>
              <w:bottom w:w="100" w:type="dxa"/>
              <w:right w:w="100" w:type="dxa"/>
            </w:tcMar>
            <w:vAlign w:val="top"/>
          </w:tcPr>
          <w:p w14:paraId="6D0A9327">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Scrapping</w:t>
            </w:r>
          </w:p>
        </w:tc>
        <w:tc>
          <w:tcPr>
            <w:tcW w:w="0" w:type="auto"/>
            <w:shd w:val="clear"/>
            <w:tcMar>
              <w:top w:w="100" w:type="dxa"/>
              <w:left w:w="100" w:type="dxa"/>
              <w:bottom w:w="100" w:type="dxa"/>
              <w:right w:w="100" w:type="dxa"/>
            </w:tcMar>
            <w:vAlign w:val="top"/>
          </w:tcPr>
          <w:p w14:paraId="74186CB1">
            <w:pPr>
              <w:keepNext w:val="0"/>
              <w:keepLines w:val="0"/>
              <w:widowControl/>
              <w:suppressLineNumbers w:val="0"/>
              <w:bidi w:val="0"/>
              <w:jc w:val="left"/>
              <w:textAlignment w:val="top"/>
            </w:pPr>
          </w:p>
        </w:tc>
        <w:tc>
          <w:tcPr>
            <w:tcW w:w="0" w:type="auto"/>
            <w:shd w:val="clear"/>
            <w:tcMar>
              <w:top w:w="100" w:type="dxa"/>
              <w:left w:w="100" w:type="dxa"/>
              <w:bottom w:w="100" w:type="dxa"/>
              <w:right w:w="100" w:type="dxa"/>
            </w:tcMar>
            <w:vAlign w:val="top"/>
          </w:tcPr>
          <w:p w14:paraId="2D3022A4">
            <w:pPr>
              <w:keepNext w:val="0"/>
              <w:keepLines w:val="0"/>
              <w:widowControl/>
              <w:suppressLineNumbers w:val="0"/>
              <w:bidi w:val="0"/>
              <w:jc w:val="left"/>
              <w:textAlignment w:val="top"/>
            </w:pPr>
          </w:p>
        </w:tc>
      </w:tr>
      <w:tr w14:paraId="0A5DB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5" w:hRule="atLeast"/>
        </w:trPr>
        <w:tc>
          <w:tcPr>
            <w:tcW w:w="0" w:type="auto"/>
            <w:shd w:val="clear"/>
            <w:tcMar>
              <w:top w:w="100" w:type="dxa"/>
              <w:left w:w="100" w:type="dxa"/>
              <w:bottom w:w="100" w:type="dxa"/>
              <w:right w:w="100" w:type="dxa"/>
            </w:tcMar>
            <w:vAlign w:val="top"/>
          </w:tcPr>
          <w:p w14:paraId="6A936D41">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Frontend</w:t>
            </w:r>
          </w:p>
        </w:tc>
        <w:tc>
          <w:tcPr>
            <w:tcW w:w="0" w:type="auto"/>
            <w:shd w:val="clear"/>
            <w:tcMar>
              <w:top w:w="100" w:type="dxa"/>
              <w:left w:w="100" w:type="dxa"/>
              <w:bottom w:w="100" w:type="dxa"/>
              <w:right w:w="100" w:type="dxa"/>
            </w:tcMar>
            <w:vAlign w:val="top"/>
          </w:tcPr>
          <w:p w14:paraId="31485874">
            <w:pPr>
              <w:keepNext w:val="0"/>
              <w:keepLines w:val="0"/>
              <w:widowControl/>
              <w:suppressLineNumbers w:val="0"/>
              <w:bidi w:val="0"/>
              <w:jc w:val="left"/>
              <w:textAlignment w:val="top"/>
            </w:pPr>
          </w:p>
        </w:tc>
        <w:tc>
          <w:tcPr>
            <w:tcW w:w="0" w:type="auto"/>
            <w:shd w:val="clear"/>
            <w:tcMar>
              <w:top w:w="100" w:type="dxa"/>
              <w:left w:w="100" w:type="dxa"/>
              <w:bottom w:w="100" w:type="dxa"/>
              <w:right w:w="100" w:type="dxa"/>
            </w:tcMar>
            <w:vAlign w:val="top"/>
          </w:tcPr>
          <w:p w14:paraId="6FA3F701">
            <w:pPr>
              <w:keepNext w:val="0"/>
              <w:keepLines w:val="0"/>
              <w:widowControl/>
              <w:suppressLineNumbers w:val="0"/>
              <w:bidi w:val="0"/>
              <w:jc w:val="left"/>
              <w:textAlignment w:val="top"/>
            </w:pPr>
          </w:p>
        </w:tc>
      </w:tr>
      <w:tr w14:paraId="1E6F3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5" w:hRule="atLeast"/>
        </w:trPr>
        <w:tc>
          <w:tcPr>
            <w:tcW w:w="0" w:type="auto"/>
            <w:shd w:val="clear"/>
            <w:tcMar>
              <w:top w:w="100" w:type="dxa"/>
              <w:left w:w="100" w:type="dxa"/>
              <w:bottom w:w="100" w:type="dxa"/>
              <w:right w:w="100" w:type="dxa"/>
            </w:tcMar>
            <w:vAlign w:val="top"/>
          </w:tcPr>
          <w:p w14:paraId="5478E802">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Human skills.md</w:t>
            </w:r>
          </w:p>
        </w:tc>
        <w:tc>
          <w:tcPr>
            <w:tcW w:w="0" w:type="auto"/>
            <w:shd w:val="clear"/>
            <w:tcMar>
              <w:top w:w="100" w:type="dxa"/>
              <w:left w:w="100" w:type="dxa"/>
              <w:bottom w:w="100" w:type="dxa"/>
              <w:right w:w="100" w:type="dxa"/>
            </w:tcMar>
            <w:vAlign w:val="top"/>
          </w:tcPr>
          <w:p w14:paraId="0634CD8B">
            <w:pPr>
              <w:keepNext w:val="0"/>
              <w:keepLines w:val="0"/>
              <w:widowControl/>
              <w:suppressLineNumbers w:val="0"/>
              <w:bidi w:val="0"/>
              <w:jc w:val="left"/>
              <w:textAlignment w:val="top"/>
            </w:pPr>
          </w:p>
        </w:tc>
        <w:tc>
          <w:tcPr>
            <w:tcW w:w="0" w:type="auto"/>
            <w:shd w:val="clear"/>
            <w:tcMar>
              <w:top w:w="100" w:type="dxa"/>
              <w:left w:w="100" w:type="dxa"/>
              <w:bottom w:w="100" w:type="dxa"/>
              <w:right w:w="100" w:type="dxa"/>
            </w:tcMar>
            <w:vAlign w:val="top"/>
          </w:tcPr>
          <w:p w14:paraId="6F4712F6">
            <w:pPr>
              <w:keepNext w:val="0"/>
              <w:keepLines w:val="0"/>
              <w:widowControl/>
              <w:suppressLineNumbers w:val="0"/>
              <w:bidi w:val="0"/>
              <w:jc w:val="left"/>
              <w:textAlignment w:val="top"/>
            </w:pPr>
          </w:p>
        </w:tc>
      </w:tr>
      <w:tr w14:paraId="0C591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5" w:hRule="atLeast"/>
        </w:trPr>
        <w:tc>
          <w:tcPr>
            <w:tcW w:w="0" w:type="auto"/>
            <w:shd w:val="clear"/>
            <w:tcMar>
              <w:top w:w="100" w:type="dxa"/>
              <w:left w:w="100" w:type="dxa"/>
              <w:bottom w:w="100" w:type="dxa"/>
              <w:right w:w="100" w:type="dxa"/>
            </w:tcMar>
            <w:vAlign w:val="top"/>
          </w:tcPr>
          <w:p w14:paraId="321866EA">
            <w:pPr>
              <w:keepNext w:val="0"/>
              <w:keepLines w:val="0"/>
              <w:widowControl/>
              <w:suppressLineNumbers w:val="0"/>
              <w:bidi w:val="0"/>
              <w:jc w:val="left"/>
              <w:textAlignment w:val="top"/>
            </w:pPr>
          </w:p>
        </w:tc>
        <w:tc>
          <w:tcPr>
            <w:tcW w:w="0" w:type="auto"/>
            <w:shd w:val="clear"/>
            <w:tcMar>
              <w:top w:w="100" w:type="dxa"/>
              <w:left w:w="100" w:type="dxa"/>
              <w:bottom w:w="100" w:type="dxa"/>
              <w:right w:w="100" w:type="dxa"/>
            </w:tcMar>
            <w:vAlign w:val="top"/>
          </w:tcPr>
          <w:p w14:paraId="6B0B6346">
            <w:pPr>
              <w:keepNext w:val="0"/>
              <w:keepLines w:val="0"/>
              <w:widowControl/>
              <w:suppressLineNumbers w:val="0"/>
              <w:bidi w:val="0"/>
              <w:jc w:val="left"/>
              <w:textAlignment w:val="top"/>
            </w:pPr>
          </w:p>
        </w:tc>
        <w:tc>
          <w:tcPr>
            <w:tcW w:w="0" w:type="auto"/>
            <w:shd w:val="clear"/>
            <w:tcMar>
              <w:top w:w="100" w:type="dxa"/>
              <w:left w:w="100" w:type="dxa"/>
              <w:bottom w:w="100" w:type="dxa"/>
              <w:right w:w="100" w:type="dxa"/>
            </w:tcMar>
            <w:vAlign w:val="top"/>
          </w:tcPr>
          <w:p w14:paraId="272C8C62">
            <w:pPr>
              <w:keepNext w:val="0"/>
              <w:keepLines w:val="0"/>
              <w:widowControl/>
              <w:suppressLineNumbers w:val="0"/>
              <w:bidi w:val="0"/>
              <w:jc w:val="left"/>
              <w:textAlignment w:val="top"/>
            </w:pPr>
          </w:p>
        </w:tc>
      </w:tr>
      <w:tr w14:paraId="796F6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05" w:hRule="atLeast"/>
        </w:trPr>
        <w:tc>
          <w:tcPr>
            <w:tcW w:w="0" w:type="auto"/>
            <w:shd w:val="clear"/>
            <w:tcMar>
              <w:top w:w="100" w:type="dxa"/>
              <w:left w:w="100" w:type="dxa"/>
              <w:bottom w:w="100" w:type="dxa"/>
              <w:right w:w="100" w:type="dxa"/>
            </w:tcMar>
            <w:vAlign w:val="top"/>
          </w:tcPr>
          <w:p w14:paraId="4AD814C2">
            <w:pPr>
              <w:keepNext w:val="0"/>
              <w:keepLines w:val="0"/>
              <w:widowControl/>
              <w:suppressLineNumbers w:val="0"/>
              <w:bidi w:val="0"/>
              <w:jc w:val="left"/>
              <w:textAlignment w:val="top"/>
            </w:pPr>
          </w:p>
        </w:tc>
        <w:tc>
          <w:tcPr>
            <w:tcW w:w="0" w:type="auto"/>
            <w:shd w:val="clear"/>
            <w:tcMar>
              <w:top w:w="100" w:type="dxa"/>
              <w:left w:w="100" w:type="dxa"/>
              <w:bottom w:w="100" w:type="dxa"/>
              <w:right w:w="100" w:type="dxa"/>
            </w:tcMar>
            <w:vAlign w:val="top"/>
          </w:tcPr>
          <w:p w14:paraId="2FFEB424">
            <w:pPr>
              <w:keepNext w:val="0"/>
              <w:keepLines w:val="0"/>
              <w:widowControl/>
              <w:suppressLineNumbers w:val="0"/>
              <w:bidi w:val="0"/>
              <w:jc w:val="left"/>
              <w:textAlignment w:val="top"/>
            </w:pPr>
          </w:p>
        </w:tc>
        <w:tc>
          <w:tcPr>
            <w:tcW w:w="0" w:type="auto"/>
            <w:shd w:val="clear"/>
            <w:tcMar>
              <w:top w:w="100" w:type="dxa"/>
              <w:left w:w="100" w:type="dxa"/>
              <w:bottom w:w="100" w:type="dxa"/>
              <w:right w:w="100" w:type="dxa"/>
            </w:tcMar>
            <w:vAlign w:val="top"/>
          </w:tcPr>
          <w:p w14:paraId="100D7914">
            <w:pPr>
              <w:keepNext w:val="0"/>
              <w:keepLines w:val="0"/>
              <w:widowControl/>
              <w:suppressLineNumbers w:val="0"/>
              <w:bidi w:val="0"/>
              <w:jc w:val="left"/>
              <w:textAlignment w:val="top"/>
            </w:pPr>
          </w:p>
        </w:tc>
      </w:tr>
    </w:tbl>
    <w:p w14:paraId="5B24959B">
      <w:pPr>
        <w:pStyle w:val="2"/>
        <w:keepNext w:val="0"/>
        <w:keepLines w:val="0"/>
        <w:widowControl/>
        <w:suppressLineNumbers w:val="0"/>
        <w:bidi w:val="0"/>
        <w:spacing w:before="0" w:beforeAutospacing="0" w:after="240" w:afterAutospacing="0" w:line="14" w:lineRule="atLeast"/>
      </w:pPr>
      <w:r>
        <w:rPr>
          <w:rFonts w:hint="default" w:ascii="Arial" w:hAnsi="Arial" w:cs="Arial"/>
          <w:i w:val="0"/>
          <w:iCs w:val="0"/>
          <w:color w:val="000000"/>
          <w:sz w:val="22"/>
          <w:szCs w:val="22"/>
          <w:u w:val="none"/>
          <w:vertAlign w:val="baseline"/>
        </w:rPr>
        <w:t xml:space="preserve">Summary: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71"/>
        <w:gridCol w:w="2117"/>
        <w:gridCol w:w="792"/>
        <w:gridCol w:w="4626"/>
      </w:tblGrid>
      <w:tr w14:paraId="1881B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85" w:hRule="atLeast"/>
        </w:trPr>
        <w:tc>
          <w:tcPr>
            <w:tcW w:w="0" w:type="auto"/>
            <w:shd w:val="clear"/>
            <w:tcMar>
              <w:top w:w="100" w:type="dxa"/>
              <w:left w:w="100" w:type="dxa"/>
              <w:bottom w:w="100" w:type="dxa"/>
              <w:right w:w="100" w:type="dxa"/>
            </w:tcMar>
            <w:vAlign w:val="top"/>
          </w:tcPr>
          <w:p w14:paraId="08489AC1">
            <w:pPr>
              <w:pStyle w:val="2"/>
              <w:keepNext w:val="0"/>
              <w:keepLines w:val="0"/>
              <w:widowControl/>
              <w:suppressLineNumbers w:val="0"/>
              <w:bidi w:val="0"/>
              <w:spacing w:before="0" w:beforeAutospacing="0" w:after="0" w:afterAutospacing="0" w:line="14" w:lineRule="atLeast"/>
              <w:jc w:val="center"/>
            </w:pPr>
            <w:r>
              <w:rPr>
                <w:rFonts w:hint="default" w:ascii="Arial" w:hAnsi="Arial" w:cs="Arial"/>
                <w:b/>
                <w:bCs/>
                <w:i w:val="0"/>
                <w:iCs w:val="0"/>
                <w:color w:val="000000"/>
                <w:sz w:val="22"/>
                <w:szCs w:val="22"/>
                <w:u w:val="none"/>
                <w:bdr w:val="none" w:color="auto" w:sz="0" w:space="0"/>
                <w:vertAlign w:val="baseline"/>
              </w:rPr>
              <w:t>Priority</w:t>
            </w:r>
          </w:p>
        </w:tc>
        <w:tc>
          <w:tcPr>
            <w:tcW w:w="0" w:type="auto"/>
            <w:shd w:val="clear"/>
            <w:tcMar>
              <w:top w:w="100" w:type="dxa"/>
              <w:left w:w="100" w:type="dxa"/>
              <w:bottom w:w="100" w:type="dxa"/>
              <w:right w:w="100" w:type="dxa"/>
            </w:tcMar>
            <w:vAlign w:val="top"/>
          </w:tcPr>
          <w:p w14:paraId="592D1A9C">
            <w:pPr>
              <w:pStyle w:val="2"/>
              <w:keepNext w:val="0"/>
              <w:keepLines w:val="0"/>
              <w:widowControl/>
              <w:suppressLineNumbers w:val="0"/>
              <w:bidi w:val="0"/>
              <w:spacing w:before="0" w:beforeAutospacing="0" w:after="0" w:afterAutospacing="0" w:line="14" w:lineRule="atLeast"/>
              <w:jc w:val="center"/>
            </w:pPr>
            <w:r>
              <w:rPr>
                <w:rFonts w:hint="default" w:ascii="Arial" w:hAnsi="Arial" w:cs="Arial"/>
                <w:b/>
                <w:bCs/>
                <w:i w:val="0"/>
                <w:iCs w:val="0"/>
                <w:color w:val="000000"/>
                <w:sz w:val="22"/>
                <w:szCs w:val="22"/>
                <w:u w:val="none"/>
                <w:bdr w:val="none" w:color="auto" w:sz="0" w:space="0"/>
                <w:vertAlign w:val="baseline"/>
              </w:rPr>
              <w:t>Domain</w:t>
            </w:r>
          </w:p>
        </w:tc>
        <w:tc>
          <w:tcPr>
            <w:tcW w:w="0" w:type="auto"/>
            <w:shd w:val="clear"/>
            <w:tcMar>
              <w:top w:w="100" w:type="dxa"/>
              <w:left w:w="100" w:type="dxa"/>
              <w:bottom w:w="100" w:type="dxa"/>
              <w:right w:w="100" w:type="dxa"/>
            </w:tcMar>
            <w:vAlign w:val="top"/>
          </w:tcPr>
          <w:p w14:paraId="65B88CB8">
            <w:pPr>
              <w:pStyle w:val="2"/>
              <w:keepNext w:val="0"/>
              <w:keepLines w:val="0"/>
              <w:widowControl/>
              <w:suppressLineNumbers w:val="0"/>
              <w:bidi w:val="0"/>
              <w:spacing w:before="0" w:beforeAutospacing="0" w:after="0" w:afterAutospacing="0" w:line="14" w:lineRule="atLeast"/>
              <w:jc w:val="center"/>
            </w:pPr>
            <w:r>
              <w:rPr>
                <w:rFonts w:hint="default" w:ascii="Arial" w:hAnsi="Arial" w:cs="Arial"/>
                <w:b/>
                <w:bCs/>
                <w:i w:val="0"/>
                <w:iCs w:val="0"/>
                <w:color w:val="000000"/>
                <w:sz w:val="22"/>
                <w:szCs w:val="22"/>
                <w:u w:val="none"/>
                <w:bdr w:val="none" w:color="auto" w:sz="0" w:space="0"/>
                <w:vertAlign w:val="baseline"/>
              </w:rPr>
              <w:t># Skills</w:t>
            </w:r>
          </w:p>
        </w:tc>
        <w:tc>
          <w:tcPr>
            <w:tcW w:w="0" w:type="auto"/>
            <w:shd w:val="clear"/>
            <w:tcMar>
              <w:top w:w="100" w:type="dxa"/>
              <w:left w:w="100" w:type="dxa"/>
              <w:bottom w:w="100" w:type="dxa"/>
              <w:right w:w="100" w:type="dxa"/>
            </w:tcMar>
            <w:vAlign w:val="top"/>
          </w:tcPr>
          <w:p w14:paraId="3F27C016">
            <w:pPr>
              <w:pStyle w:val="2"/>
              <w:keepNext w:val="0"/>
              <w:keepLines w:val="0"/>
              <w:widowControl/>
              <w:suppressLineNumbers w:val="0"/>
              <w:bidi w:val="0"/>
              <w:spacing w:before="0" w:beforeAutospacing="0" w:after="0" w:afterAutospacing="0" w:line="14" w:lineRule="atLeast"/>
              <w:jc w:val="center"/>
            </w:pPr>
            <w:r>
              <w:rPr>
                <w:rFonts w:hint="default" w:ascii="Arial" w:hAnsi="Arial" w:cs="Arial"/>
                <w:b/>
                <w:bCs/>
                <w:i w:val="0"/>
                <w:iCs w:val="0"/>
                <w:color w:val="000000"/>
                <w:sz w:val="22"/>
                <w:szCs w:val="22"/>
                <w:u w:val="none"/>
                <w:bdr w:val="none" w:color="auto" w:sz="0" w:space="0"/>
                <w:vertAlign w:val="baseline"/>
              </w:rPr>
              <w:t>高频 Skill Families / Scenarios</w:t>
            </w:r>
          </w:p>
        </w:tc>
      </w:tr>
      <w:tr w14:paraId="4A4E5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005" w:hRule="atLeast"/>
        </w:trPr>
        <w:tc>
          <w:tcPr>
            <w:tcW w:w="0" w:type="auto"/>
            <w:shd w:val="clear"/>
            <w:tcMar>
              <w:top w:w="100" w:type="dxa"/>
              <w:left w:w="100" w:type="dxa"/>
              <w:bottom w:w="100" w:type="dxa"/>
              <w:right w:w="100" w:type="dxa"/>
            </w:tcMar>
            <w:vAlign w:val="top"/>
          </w:tcPr>
          <w:p w14:paraId="27C5C31A">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P0</w:t>
            </w:r>
          </w:p>
        </w:tc>
        <w:tc>
          <w:tcPr>
            <w:tcW w:w="0" w:type="auto"/>
            <w:shd w:val="clear"/>
            <w:tcMar>
              <w:top w:w="100" w:type="dxa"/>
              <w:left w:w="100" w:type="dxa"/>
              <w:bottom w:w="100" w:type="dxa"/>
              <w:right w:w="100" w:type="dxa"/>
            </w:tcMar>
            <w:vAlign w:val="top"/>
          </w:tcPr>
          <w:p w14:paraId="1901AA38">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Sales &amp; RevOps</w:t>
            </w:r>
          </w:p>
        </w:tc>
        <w:tc>
          <w:tcPr>
            <w:tcW w:w="0" w:type="auto"/>
            <w:shd w:val="clear"/>
            <w:tcMar>
              <w:top w:w="100" w:type="dxa"/>
              <w:left w:w="100" w:type="dxa"/>
              <w:bottom w:w="100" w:type="dxa"/>
              <w:right w:w="100" w:type="dxa"/>
            </w:tcMar>
            <w:vAlign w:val="top"/>
          </w:tcPr>
          <w:p w14:paraId="5BE1A6D8">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105</w:t>
            </w:r>
          </w:p>
        </w:tc>
        <w:tc>
          <w:tcPr>
            <w:tcW w:w="0" w:type="auto"/>
            <w:shd w:val="clear"/>
            <w:tcMar>
              <w:top w:w="100" w:type="dxa"/>
              <w:left w:w="100" w:type="dxa"/>
              <w:bottom w:w="100" w:type="dxa"/>
              <w:right w:w="100" w:type="dxa"/>
            </w:tcMar>
            <w:vAlign w:val="top"/>
          </w:tcPr>
          <w:p w14:paraId="66D4D23B">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ICP Definition, Account Research, Lead Qualification, Lead Scoring, Discovery Prep, Discovery Questions, Call Review, MEDDICC/BANT Qualification, Stakeholder Mapping, Champion Identification, Pain Extraction, Objection Handling, Competitive Objection, Pricing Objection, Demo Prep, Demo Review, Follow-up Email, Cold Email, Cold LinkedIn, Personalization, Sequence Design, Meeting Recap → CRM, Next-step Detection, Deal Risk Review, Pipeline Review, Forecast Review, Lost-deal Analysis, Win/Loss Analysis, Renewal Upsell</w:t>
            </w:r>
          </w:p>
        </w:tc>
      </w:tr>
      <w:tr w14:paraId="5A30F1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005" w:hRule="atLeast"/>
        </w:trPr>
        <w:tc>
          <w:tcPr>
            <w:tcW w:w="0" w:type="auto"/>
            <w:shd w:val="clear"/>
            <w:tcMar>
              <w:top w:w="100" w:type="dxa"/>
              <w:left w:w="100" w:type="dxa"/>
              <w:bottom w:w="100" w:type="dxa"/>
              <w:right w:w="100" w:type="dxa"/>
            </w:tcMar>
            <w:vAlign w:val="top"/>
          </w:tcPr>
          <w:p w14:paraId="3A8A5D97">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P0</w:t>
            </w:r>
          </w:p>
        </w:tc>
        <w:tc>
          <w:tcPr>
            <w:tcW w:w="0" w:type="auto"/>
            <w:shd w:val="clear"/>
            <w:tcMar>
              <w:top w:w="100" w:type="dxa"/>
              <w:left w:w="100" w:type="dxa"/>
              <w:bottom w:w="100" w:type="dxa"/>
              <w:right w:w="100" w:type="dxa"/>
            </w:tcMar>
            <w:vAlign w:val="top"/>
          </w:tcPr>
          <w:p w14:paraId="423E7CF3">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Marketing &amp; Growth</w:t>
            </w:r>
          </w:p>
        </w:tc>
        <w:tc>
          <w:tcPr>
            <w:tcW w:w="0" w:type="auto"/>
            <w:shd w:val="clear"/>
            <w:tcMar>
              <w:top w:w="100" w:type="dxa"/>
              <w:left w:w="100" w:type="dxa"/>
              <w:bottom w:w="100" w:type="dxa"/>
              <w:right w:w="100" w:type="dxa"/>
            </w:tcMar>
            <w:vAlign w:val="top"/>
          </w:tcPr>
          <w:p w14:paraId="4EF2F078">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95</w:t>
            </w:r>
          </w:p>
        </w:tc>
        <w:tc>
          <w:tcPr>
            <w:tcW w:w="0" w:type="auto"/>
            <w:shd w:val="clear"/>
            <w:tcMar>
              <w:top w:w="100" w:type="dxa"/>
              <w:left w:w="100" w:type="dxa"/>
              <w:bottom w:w="100" w:type="dxa"/>
              <w:right w:w="100" w:type="dxa"/>
            </w:tcMar>
            <w:vAlign w:val="top"/>
          </w:tcPr>
          <w:p w14:paraId="0E5785AC">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Positioning, Messaging, Value Proposition, Persona Development, Audience Research, Competitor Analysis, Category Analysis, Campaign Brief, Campaign Review, Launch Plan, GTM Checklist, Brand Voice, Copy Review, Landing Page Critique, SEO Brief, Keyword Research, Content Brief, Blog Drafting, Social Content, LinkedIn Posts, Newsletter, Content Repurposing, Ad Copy, Creative Brief, Creative Critique, A/B Test Ideas, Growth Experiment Design, Influencer Outreach, Community Growth, Event Marketing</w:t>
            </w:r>
          </w:p>
        </w:tc>
      </w:tr>
      <w:tr w14:paraId="616CB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35" w:hRule="atLeast"/>
        </w:trPr>
        <w:tc>
          <w:tcPr>
            <w:tcW w:w="0" w:type="auto"/>
            <w:shd w:val="clear"/>
            <w:tcMar>
              <w:top w:w="100" w:type="dxa"/>
              <w:left w:w="100" w:type="dxa"/>
              <w:bottom w:w="100" w:type="dxa"/>
              <w:right w:w="100" w:type="dxa"/>
            </w:tcMar>
            <w:vAlign w:val="top"/>
          </w:tcPr>
          <w:p w14:paraId="0EE2A4A2">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P0</w:t>
            </w:r>
          </w:p>
        </w:tc>
        <w:tc>
          <w:tcPr>
            <w:tcW w:w="0" w:type="auto"/>
            <w:shd w:val="clear"/>
            <w:tcMar>
              <w:top w:w="100" w:type="dxa"/>
              <w:left w:w="100" w:type="dxa"/>
              <w:bottom w:w="100" w:type="dxa"/>
              <w:right w:w="100" w:type="dxa"/>
            </w:tcMar>
            <w:vAlign w:val="top"/>
          </w:tcPr>
          <w:p w14:paraId="5A9FD6F5">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Executive Assistant &amp; Admin</w:t>
            </w:r>
          </w:p>
        </w:tc>
        <w:tc>
          <w:tcPr>
            <w:tcW w:w="0" w:type="auto"/>
            <w:shd w:val="clear"/>
            <w:tcMar>
              <w:top w:w="100" w:type="dxa"/>
              <w:left w:w="100" w:type="dxa"/>
              <w:bottom w:w="100" w:type="dxa"/>
              <w:right w:w="100" w:type="dxa"/>
            </w:tcMar>
            <w:vAlign w:val="top"/>
          </w:tcPr>
          <w:p w14:paraId="430C2B12">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80</w:t>
            </w:r>
          </w:p>
        </w:tc>
        <w:tc>
          <w:tcPr>
            <w:tcW w:w="0" w:type="auto"/>
            <w:shd w:val="clear"/>
            <w:tcMar>
              <w:top w:w="100" w:type="dxa"/>
              <w:left w:w="100" w:type="dxa"/>
              <w:bottom w:w="100" w:type="dxa"/>
              <w:right w:w="100" w:type="dxa"/>
            </w:tcMar>
            <w:vAlign w:val="top"/>
          </w:tcPr>
          <w:p w14:paraId="42A522F4">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Inbox Triage, Email Drafting, Reply Prioritization, Calendar Scheduling, Meeting Coordination, Meeting Preparation, Agenda Creation, Meeting Notes, Transcript → Summary, Transcript → Action Items, Follow-up Tracking, Travel Planning, Expense Organization, Document Filing, Reminder Management, Daily Briefing, Weekly Briefing, Contact Management, Vendor Coordination, Translation, Personal Research, Scheduling Across Time Zones</w:t>
            </w:r>
          </w:p>
        </w:tc>
      </w:tr>
      <w:tr w14:paraId="66640D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05" w:hRule="atLeast"/>
        </w:trPr>
        <w:tc>
          <w:tcPr>
            <w:tcW w:w="0" w:type="auto"/>
            <w:shd w:val="clear"/>
            <w:tcMar>
              <w:top w:w="100" w:type="dxa"/>
              <w:left w:w="100" w:type="dxa"/>
              <w:bottom w:w="100" w:type="dxa"/>
              <w:right w:w="100" w:type="dxa"/>
            </w:tcMar>
            <w:vAlign w:val="top"/>
          </w:tcPr>
          <w:p w14:paraId="28B9DD14">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P0</w:t>
            </w:r>
          </w:p>
        </w:tc>
        <w:tc>
          <w:tcPr>
            <w:tcW w:w="0" w:type="auto"/>
            <w:shd w:val="clear"/>
            <w:tcMar>
              <w:top w:w="100" w:type="dxa"/>
              <w:left w:w="100" w:type="dxa"/>
              <w:bottom w:w="100" w:type="dxa"/>
              <w:right w:w="100" w:type="dxa"/>
            </w:tcMar>
            <w:vAlign w:val="top"/>
          </w:tcPr>
          <w:p w14:paraId="5555810E">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Product &amp; User Research</w:t>
            </w:r>
          </w:p>
        </w:tc>
        <w:tc>
          <w:tcPr>
            <w:tcW w:w="0" w:type="auto"/>
            <w:shd w:val="clear"/>
            <w:tcMar>
              <w:top w:w="100" w:type="dxa"/>
              <w:left w:w="100" w:type="dxa"/>
              <w:bottom w:w="100" w:type="dxa"/>
              <w:right w:w="100" w:type="dxa"/>
            </w:tcMar>
            <w:vAlign w:val="top"/>
          </w:tcPr>
          <w:p w14:paraId="2AB08CA9">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75</w:t>
            </w:r>
          </w:p>
        </w:tc>
        <w:tc>
          <w:tcPr>
            <w:tcW w:w="0" w:type="auto"/>
            <w:shd w:val="clear"/>
            <w:tcMar>
              <w:top w:w="100" w:type="dxa"/>
              <w:left w:w="100" w:type="dxa"/>
              <w:bottom w:w="100" w:type="dxa"/>
              <w:right w:w="100" w:type="dxa"/>
            </w:tcMar>
            <w:vAlign w:val="top"/>
          </w:tcPr>
          <w:p w14:paraId="7ADEEBAF">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Customer Interview Guide, Interview Prep, Interview Analysis, Interview Synthesis, JTBD Extraction, Pain-point Identification, Feedback Clustering, Feature Request Analysis, PRD Drafting, PRD Review, User Story, Acceptance Criteria, Feature Prioritization, RICE, Product Strategy Memo, Roadmap Review, Churn Interview Analysis, Usability Test Plan, Survey Design, Survey Analysis, Market Research, Competitive Analysis, Product Teardown, Product Metrics Review, Experiment Design</w:t>
            </w:r>
          </w:p>
        </w:tc>
      </w:tr>
      <w:tr w14:paraId="0E23F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50" w:hRule="atLeast"/>
        </w:trPr>
        <w:tc>
          <w:tcPr>
            <w:tcW w:w="0" w:type="auto"/>
            <w:shd w:val="clear"/>
            <w:tcMar>
              <w:top w:w="100" w:type="dxa"/>
              <w:left w:w="100" w:type="dxa"/>
              <w:bottom w:w="100" w:type="dxa"/>
              <w:right w:w="100" w:type="dxa"/>
            </w:tcMar>
            <w:vAlign w:val="top"/>
          </w:tcPr>
          <w:p w14:paraId="530CE146">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P0</w:t>
            </w:r>
          </w:p>
        </w:tc>
        <w:tc>
          <w:tcPr>
            <w:tcW w:w="0" w:type="auto"/>
            <w:shd w:val="clear"/>
            <w:tcMar>
              <w:top w:w="100" w:type="dxa"/>
              <w:left w:w="100" w:type="dxa"/>
              <w:bottom w:w="100" w:type="dxa"/>
              <w:right w:w="100" w:type="dxa"/>
            </w:tcMar>
            <w:vAlign w:val="top"/>
          </w:tcPr>
          <w:p w14:paraId="7557CC9B">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Operations &amp; Process</w:t>
            </w:r>
          </w:p>
        </w:tc>
        <w:tc>
          <w:tcPr>
            <w:tcW w:w="0" w:type="auto"/>
            <w:shd w:val="clear"/>
            <w:tcMar>
              <w:top w:w="100" w:type="dxa"/>
              <w:left w:w="100" w:type="dxa"/>
              <w:bottom w:w="100" w:type="dxa"/>
              <w:right w:w="100" w:type="dxa"/>
            </w:tcMar>
            <w:vAlign w:val="top"/>
          </w:tcPr>
          <w:p w14:paraId="1C8B9CD3">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65</w:t>
            </w:r>
          </w:p>
        </w:tc>
        <w:tc>
          <w:tcPr>
            <w:tcW w:w="0" w:type="auto"/>
            <w:shd w:val="clear"/>
            <w:tcMar>
              <w:top w:w="100" w:type="dxa"/>
              <w:left w:w="100" w:type="dxa"/>
              <w:bottom w:w="100" w:type="dxa"/>
              <w:right w:w="100" w:type="dxa"/>
            </w:tcMar>
            <w:vAlign w:val="top"/>
          </w:tcPr>
          <w:p w14:paraId="30C470DC">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SOP Creation, SOP Review, Process Mapping, Workflow Audit, Bottleneck Identification, Weekly Ops Review, Daily Ops Brief, Incident Summary, Issue Triage, Root Cause Analysis, Postmortem, Escalation Process, Handoff Design, Checklist Creation, QA Checklist, Vendor Workflow, Fulfillment Review, Inventory Review, Resource Allocation, Process Improvement, Capacity Planning</w:t>
            </w:r>
          </w:p>
        </w:tc>
      </w:tr>
      <w:tr w14:paraId="75B7A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50" w:hRule="atLeast"/>
        </w:trPr>
        <w:tc>
          <w:tcPr>
            <w:tcW w:w="0" w:type="auto"/>
            <w:shd w:val="clear"/>
            <w:tcMar>
              <w:top w:w="100" w:type="dxa"/>
              <w:left w:w="100" w:type="dxa"/>
              <w:bottom w:w="100" w:type="dxa"/>
              <w:right w:w="100" w:type="dxa"/>
            </w:tcMar>
            <w:vAlign w:val="top"/>
          </w:tcPr>
          <w:p w14:paraId="4E43C1DB">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P0</w:t>
            </w:r>
          </w:p>
        </w:tc>
        <w:tc>
          <w:tcPr>
            <w:tcW w:w="0" w:type="auto"/>
            <w:shd w:val="clear"/>
            <w:tcMar>
              <w:top w:w="100" w:type="dxa"/>
              <w:left w:w="100" w:type="dxa"/>
              <w:bottom w:w="100" w:type="dxa"/>
              <w:right w:w="100" w:type="dxa"/>
            </w:tcMar>
            <w:vAlign w:val="top"/>
          </w:tcPr>
          <w:p w14:paraId="3E938E42">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Customer Success &amp; Support</w:t>
            </w:r>
          </w:p>
        </w:tc>
        <w:tc>
          <w:tcPr>
            <w:tcW w:w="0" w:type="auto"/>
            <w:shd w:val="clear"/>
            <w:tcMar>
              <w:top w:w="100" w:type="dxa"/>
              <w:left w:w="100" w:type="dxa"/>
              <w:bottom w:w="100" w:type="dxa"/>
              <w:right w:w="100" w:type="dxa"/>
            </w:tcMar>
            <w:vAlign w:val="top"/>
          </w:tcPr>
          <w:p w14:paraId="16664AD9">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60</w:t>
            </w:r>
          </w:p>
        </w:tc>
        <w:tc>
          <w:tcPr>
            <w:tcW w:w="0" w:type="auto"/>
            <w:shd w:val="clear"/>
            <w:tcMar>
              <w:top w:w="100" w:type="dxa"/>
              <w:left w:w="100" w:type="dxa"/>
              <w:bottom w:w="100" w:type="dxa"/>
              <w:right w:w="100" w:type="dxa"/>
            </w:tcMar>
            <w:vAlign w:val="top"/>
          </w:tcPr>
          <w:p w14:paraId="0E551487">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Support Triage, Ticket Classification, Response Drafting, Escalation Triage, Support QA, Sentiment Detection, Bug vs Feature Request, Customer Onboarding, Onboarding Plan, Customer Health Review, QBR Preparation, Renewal Risk Detection, Churn Risk Detection, Customer Feedback Summary, Help Center Article, FAQ Creation, Voice-of-Customer Analysis, Account Handoff, Customer Training</w:t>
            </w:r>
          </w:p>
        </w:tc>
      </w:tr>
      <w:tr w14:paraId="6CB5D7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80" w:hRule="atLeast"/>
        </w:trPr>
        <w:tc>
          <w:tcPr>
            <w:tcW w:w="0" w:type="auto"/>
            <w:shd w:val="clear"/>
            <w:tcMar>
              <w:top w:w="100" w:type="dxa"/>
              <w:left w:w="100" w:type="dxa"/>
              <w:bottom w:w="100" w:type="dxa"/>
              <w:right w:w="100" w:type="dxa"/>
            </w:tcMar>
            <w:vAlign w:val="top"/>
          </w:tcPr>
          <w:p w14:paraId="5E10B1C4">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P0</w:t>
            </w:r>
          </w:p>
        </w:tc>
        <w:tc>
          <w:tcPr>
            <w:tcW w:w="0" w:type="auto"/>
            <w:shd w:val="clear"/>
            <w:tcMar>
              <w:top w:w="100" w:type="dxa"/>
              <w:left w:w="100" w:type="dxa"/>
              <w:bottom w:w="100" w:type="dxa"/>
              <w:right w:w="100" w:type="dxa"/>
            </w:tcMar>
            <w:vAlign w:val="top"/>
          </w:tcPr>
          <w:p w14:paraId="1AD6A5B1">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Communication &amp; Business Writing</w:t>
            </w:r>
          </w:p>
        </w:tc>
        <w:tc>
          <w:tcPr>
            <w:tcW w:w="0" w:type="auto"/>
            <w:shd w:val="clear"/>
            <w:tcMar>
              <w:top w:w="100" w:type="dxa"/>
              <w:left w:w="100" w:type="dxa"/>
              <w:bottom w:w="100" w:type="dxa"/>
              <w:right w:w="100" w:type="dxa"/>
            </w:tcMar>
            <w:vAlign w:val="top"/>
          </w:tcPr>
          <w:p w14:paraId="33298940">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55</w:t>
            </w:r>
          </w:p>
        </w:tc>
        <w:tc>
          <w:tcPr>
            <w:tcW w:w="0" w:type="auto"/>
            <w:shd w:val="clear"/>
            <w:tcMar>
              <w:top w:w="100" w:type="dxa"/>
              <w:left w:w="100" w:type="dxa"/>
              <w:bottom w:w="100" w:type="dxa"/>
              <w:right w:w="100" w:type="dxa"/>
            </w:tcMar>
            <w:vAlign w:val="top"/>
          </w:tcPr>
          <w:p w14:paraId="62FE844B">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Professional Email, Slack Message, Executive Summary, Memo, Proposal, Brief, Status Update, Announcement, Persuasive Writing, Tone Adjustment, Difficult Message, Apology, Negotiation Message, Client Update, Internal Update, Cross-cultural Communication, Translation + Localization, Corporate Lingo → Plain English, Plain English → Executive Language, Speech/Talking Points</w:t>
            </w:r>
          </w:p>
        </w:tc>
      </w:tr>
      <w:tr w14:paraId="1CFA6D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50" w:hRule="atLeast"/>
        </w:trPr>
        <w:tc>
          <w:tcPr>
            <w:tcW w:w="0" w:type="auto"/>
            <w:shd w:val="clear"/>
            <w:tcMar>
              <w:top w:w="100" w:type="dxa"/>
              <w:left w:w="100" w:type="dxa"/>
              <w:bottom w:w="100" w:type="dxa"/>
              <w:right w:w="100" w:type="dxa"/>
            </w:tcMar>
            <w:vAlign w:val="top"/>
          </w:tcPr>
          <w:p w14:paraId="0839C524">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P0</w:t>
            </w:r>
          </w:p>
        </w:tc>
        <w:tc>
          <w:tcPr>
            <w:tcW w:w="0" w:type="auto"/>
            <w:shd w:val="clear"/>
            <w:tcMar>
              <w:top w:w="100" w:type="dxa"/>
              <w:left w:w="100" w:type="dxa"/>
              <w:bottom w:w="100" w:type="dxa"/>
              <w:right w:w="100" w:type="dxa"/>
            </w:tcMar>
            <w:vAlign w:val="top"/>
          </w:tcPr>
          <w:p w14:paraId="0D4ADC59">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Recruiting &amp; People Ops</w:t>
            </w:r>
          </w:p>
        </w:tc>
        <w:tc>
          <w:tcPr>
            <w:tcW w:w="0" w:type="auto"/>
            <w:shd w:val="clear"/>
            <w:tcMar>
              <w:top w:w="100" w:type="dxa"/>
              <w:left w:w="100" w:type="dxa"/>
              <w:bottom w:w="100" w:type="dxa"/>
              <w:right w:w="100" w:type="dxa"/>
            </w:tcMar>
            <w:vAlign w:val="top"/>
          </w:tcPr>
          <w:p w14:paraId="6CBD39C5">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55</w:t>
            </w:r>
          </w:p>
        </w:tc>
        <w:tc>
          <w:tcPr>
            <w:tcW w:w="0" w:type="auto"/>
            <w:shd w:val="clear"/>
            <w:tcMar>
              <w:top w:w="100" w:type="dxa"/>
              <w:left w:w="100" w:type="dxa"/>
              <w:bottom w:w="100" w:type="dxa"/>
              <w:right w:w="100" w:type="dxa"/>
            </w:tcMar>
            <w:vAlign w:val="top"/>
          </w:tcPr>
          <w:p w14:paraId="34443918">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Role Intake, JD Creation, JD Review, Candidate Sourcing Strategy, Resume Screening, Candidate Calibration, Candidate Ranking, Interview Guide, Behavioral Questions, Technical-role Questions for Nontechnical Recruiter, Interview Debrief, Reference Check, Offer Communication, Candidate Outreach, Rejection Email, Onboarding Plan, 30/60/90 Plan, Performance Review Drafting, Employee Survey Analysis</w:t>
            </w:r>
          </w:p>
        </w:tc>
      </w:tr>
      <w:tr w14:paraId="16C91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80" w:hRule="atLeast"/>
        </w:trPr>
        <w:tc>
          <w:tcPr>
            <w:tcW w:w="0" w:type="auto"/>
            <w:shd w:val="clear"/>
            <w:tcMar>
              <w:top w:w="100" w:type="dxa"/>
              <w:left w:w="100" w:type="dxa"/>
              <w:bottom w:w="100" w:type="dxa"/>
              <w:right w:w="100" w:type="dxa"/>
            </w:tcMar>
            <w:vAlign w:val="top"/>
          </w:tcPr>
          <w:p w14:paraId="73F0FDB1">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P0</w:t>
            </w:r>
          </w:p>
        </w:tc>
        <w:tc>
          <w:tcPr>
            <w:tcW w:w="0" w:type="auto"/>
            <w:shd w:val="clear"/>
            <w:tcMar>
              <w:top w:w="100" w:type="dxa"/>
              <w:left w:w="100" w:type="dxa"/>
              <w:bottom w:w="100" w:type="dxa"/>
              <w:right w:w="100" w:type="dxa"/>
            </w:tcMar>
            <w:vAlign w:val="top"/>
          </w:tcPr>
          <w:p w14:paraId="083E3194">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Data &amp; Business Analysis</w:t>
            </w:r>
          </w:p>
        </w:tc>
        <w:tc>
          <w:tcPr>
            <w:tcW w:w="0" w:type="auto"/>
            <w:shd w:val="clear"/>
            <w:tcMar>
              <w:top w:w="100" w:type="dxa"/>
              <w:left w:w="100" w:type="dxa"/>
              <w:bottom w:w="100" w:type="dxa"/>
              <w:right w:w="100" w:type="dxa"/>
            </w:tcMar>
            <w:vAlign w:val="top"/>
          </w:tcPr>
          <w:p w14:paraId="3539EAB4">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50</w:t>
            </w:r>
          </w:p>
        </w:tc>
        <w:tc>
          <w:tcPr>
            <w:tcW w:w="0" w:type="auto"/>
            <w:shd w:val="clear"/>
            <w:tcMar>
              <w:top w:w="100" w:type="dxa"/>
              <w:left w:w="100" w:type="dxa"/>
              <w:bottom w:w="100" w:type="dxa"/>
              <w:right w:w="100" w:type="dxa"/>
            </w:tcMar>
            <w:vAlign w:val="top"/>
          </w:tcPr>
          <w:p w14:paraId="4C5F41CD">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KPI Definition, Metric Tree, Dashboard Interpretation, Weekly Metric Review, Funnel Analysis, Cohort Analysis, Conversion Analysis, Retention Analysis, Survey Analysis, Spreadsheet Analysis, Variance Analysis, Trend Detection, Anomaly Explanation, Segmentation, Forecasting, Scenario Analysis, Experiment Analysis, Executive Data Summary, Data → Recommendation</w:t>
            </w:r>
          </w:p>
        </w:tc>
      </w:tr>
      <w:tr w14:paraId="1F383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625" w:hRule="atLeast"/>
        </w:trPr>
        <w:tc>
          <w:tcPr>
            <w:tcW w:w="0" w:type="auto"/>
            <w:shd w:val="clear"/>
            <w:tcMar>
              <w:top w:w="100" w:type="dxa"/>
              <w:left w:w="100" w:type="dxa"/>
              <w:bottom w:w="100" w:type="dxa"/>
              <w:right w:w="100" w:type="dxa"/>
            </w:tcMar>
            <w:vAlign w:val="top"/>
          </w:tcPr>
          <w:p w14:paraId="17E199F6">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P0</w:t>
            </w:r>
          </w:p>
        </w:tc>
        <w:tc>
          <w:tcPr>
            <w:tcW w:w="0" w:type="auto"/>
            <w:shd w:val="clear"/>
            <w:tcMar>
              <w:top w:w="100" w:type="dxa"/>
              <w:left w:w="100" w:type="dxa"/>
              <w:bottom w:w="100" w:type="dxa"/>
              <w:right w:w="100" w:type="dxa"/>
            </w:tcMar>
            <w:vAlign w:val="top"/>
          </w:tcPr>
          <w:p w14:paraId="3ECE080A">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Web Research &amp; Data Collection</w:t>
            </w:r>
          </w:p>
        </w:tc>
        <w:tc>
          <w:tcPr>
            <w:tcW w:w="0" w:type="auto"/>
            <w:shd w:val="clear"/>
            <w:tcMar>
              <w:top w:w="100" w:type="dxa"/>
              <w:left w:w="100" w:type="dxa"/>
              <w:bottom w:w="100" w:type="dxa"/>
              <w:right w:w="100" w:type="dxa"/>
            </w:tcMar>
            <w:vAlign w:val="top"/>
          </w:tcPr>
          <w:p w14:paraId="48647189">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20</w:t>
            </w:r>
          </w:p>
        </w:tc>
        <w:tc>
          <w:tcPr>
            <w:tcW w:w="0" w:type="auto"/>
            <w:shd w:val="clear"/>
            <w:tcMar>
              <w:top w:w="100" w:type="dxa"/>
              <w:left w:w="100" w:type="dxa"/>
              <w:bottom w:w="100" w:type="dxa"/>
              <w:right w:w="100" w:type="dxa"/>
            </w:tcMar>
            <w:vAlign w:val="top"/>
          </w:tcPr>
          <w:p w14:paraId="54839B52">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Company Research, Person Research, Market Mapping, Competitor Collection, Lead List Building, Expert Discovery, Vendor Research, Pricing Research, Source Verification, Web Data Collection, Research Triangulation, Claim Verification, Research Synthesis</w:t>
            </w:r>
          </w:p>
        </w:tc>
      </w:tr>
      <w:tr w14:paraId="225B34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180" w:hRule="atLeast"/>
        </w:trPr>
        <w:tc>
          <w:tcPr>
            <w:tcW w:w="0" w:type="auto"/>
            <w:shd w:val="clear"/>
            <w:tcMar>
              <w:top w:w="100" w:type="dxa"/>
              <w:left w:w="100" w:type="dxa"/>
              <w:bottom w:w="100" w:type="dxa"/>
              <w:right w:w="100" w:type="dxa"/>
            </w:tcMar>
            <w:vAlign w:val="top"/>
          </w:tcPr>
          <w:p w14:paraId="36D1DBD7">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P1</w:t>
            </w:r>
          </w:p>
        </w:tc>
        <w:tc>
          <w:tcPr>
            <w:tcW w:w="0" w:type="auto"/>
            <w:shd w:val="clear"/>
            <w:tcMar>
              <w:top w:w="100" w:type="dxa"/>
              <w:left w:w="100" w:type="dxa"/>
              <w:bottom w:w="100" w:type="dxa"/>
              <w:right w:w="100" w:type="dxa"/>
            </w:tcMar>
            <w:vAlign w:val="top"/>
          </w:tcPr>
          <w:p w14:paraId="75717A26">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Fundraising &amp; Investor Relations</w:t>
            </w:r>
          </w:p>
        </w:tc>
        <w:tc>
          <w:tcPr>
            <w:tcW w:w="0" w:type="auto"/>
            <w:shd w:val="clear"/>
            <w:tcMar>
              <w:top w:w="100" w:type="dxa"/>
              <w:left w:w="100" w:type="dxa"/>
              <w:bottom w:w="100" w:type="dxa"/>
              <w:right w:w="100" w:type="dxa"/>
            </w:tcMar>
            <w:vAlign w:val="top"/>
          </w:tcPr>
          <w:p w14:paraId="54C81E25">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45</w:t>
            </w:r>
          </w:p>
        </w:tc>
        <w:tc>
          <w:tcPr>
            <w:tcW w:w="0" w:type="auto"/>
            <w:shd w:val="clear"/>
            <w:tcMar>
              <w:top w:w="100" w:type="dxa"/>
              <w:left w:w="100" w:type="dxa"/>
              <w:bottom w:w="100" w:type="dxa"/>
              <w:right w:w="100" w:type="dxa"/>
            </w:tcMar>
            <w:vAlign w:val="top"/>
          </w:tcPr>
          <w:p w14:paraId="34D36CC9">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Investor Research, Investor Fit, Fundraising CRM, Warm Intro Draft, Cold Investor Outreach, Pitch Narrative, Deck Structure, Deck Critique, Market Slide, Competition Slide, Why Now, Traction Slide, Fundraise FAQ, Investor Meeting Prep, Investor Meeting Review, Objection Handling, Data Room Checklist, Investor Update, Follow-up, Term Sheet Comparison</w:t>
            </w:r>
          </w:p>
        </w:tc>
      </w:tr>
      <w:tr w14:paraId="2F225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80" w:hRule="atLeast"/>
        </w:trPr>
        <w:tc>
          <w:tcPr>
            <w:tcW w:w="0" w:type="auto"/>
            <w:shd w:val="clear"/>
            <w:tcMar>
              <w:top w:w="100" w:type="dxa"/>
              <w:left w:w="100" w:type="dxa"/>
              <w:bottom w:w="100" w:type="dxa"/>
              <w:right w:w="100" w:type="dxa"/>
            </w:tcMar>
            <w:vAlign w:val="top"/>
          </w:tcPr>
          <w:p w14:paraId="5D015293">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P1</w:t>
            </w:r>
          </w:p>
        </w:tc>
        <w:tc>
          <w:tcPr>
            <w:tcW w:w="0" w:type="auto"/>
            <w:shd w:val="clear"/>
            <w:tcMar>
              <w:top w:w="100" w:type="dxa"/>
              <w:left w:w="100" w:type="dxa"/>
              <w:bottom w:w="100" w:type="dxa"/>
              <w:right w:w="100" w:type="dxa"/>
            </w:tcMar>
            <w:vAlign w:val="top"/>
          </w:tcPr>
          <w:p w14:paraId="6995E798">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Finance &amp; Accounting</w:t>
            </w:r>
          </w:p>
        </w:tc>
        <w:tc>
          <w:tcPr>
            <w:tcW w:w="0" w:type="auto"/>
            <w:shd w:val="clear"/>
            <w:tcMar>
              <w:top w:w="100" w:type="dxa"/>
              <w:left w:w="100" w:type="dxa"/>
              <w:bottom w:w="100" w:type="dxa"/>
              <w:right w:w="100" w:type="dxa"/>
            </w:tcMar>
            <w:vAlign w:val="top"/>
          </w:tcPr>
          <w:p w14:paraId="74E98D92">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45</w:t>
            </w:r>
          </w:p>
        </w:tc>
        <w:tc>
          <w:tcPr>
            <w:tcW w:w="0" w:type="auto"/>
            <w:shd w:val="clear"/>
            <w:tcMar>
              <w:top w:w="100" w:type="dxa"/>
              <w:left w:w="100" w:type="dxa"/>
              <w:bottom w:w="100" w:type="dxa"/>
              <w:right w:w="100" w:type="dxa"/>
            </w:tcMar>
            <w:vAlign w:val="top"/>
          </w:tcPr>
          <w:p w14:paraId="3DCD10C3">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Budget Creation, Burn Analysis, Runway Calculation, Cash-flow Forecast, Expense Categorization, Monthly Close Checklist, Financial Statement Review, Budget vs Actual, Revenue Forecast, Pricing Model, Unit Economics, CAC/LTV Review, Invoice Workflow, AR Follow-up, AP Review, Tax Document Preparation Checklist, Bookkeeping QA</w:t>
            </w:r>
          </w:p>
        </w:tc>
      </w:tr>
      <w:tr w14:paraId="2D922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95" w:hRule="atLeast"/>
        </w:trPr>
        <w:tc>
          <w:tcPr>
            <w:tcW w:w="0" w:type="auto"/>
            <w:shd w:val="clear"/>
            <w:tcMar>
              <w:top w:w="100" w:type="dxa"/>
              <w:left w:w="100" w:type="dxa"/>
              <w:bottom w:w="100" w:type="dxa"/>
              <w:right w:w="100" w:type="dxa"/>
            </w:tcMar>
            <w:vAlign w:val="top"/>
          </w:tcPr>
          <w:p w14:paraId="74E91FC1">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P1</w:t>
            </w:r>
          </w:p>
        </w:tc>
        <w:tc>
          <w:tcPr>
            <w:tcW w:w="0" w:type="auto"/>
            <w:shd w:val="clear"/>
            <w:tcMar>
              <w:top w:w="100" w:type="dxa"/>
              <w:left w:w="100" w:type="dxa"/>
              <w:bottom w:w="100" w:type="dxa"/>
              <w:right w:w="100" w:type="dxa"/>
            </w:tcMar>
            <w:vAlign w:val="top"/>
          </w:tcPr>
          <w:p w14:paraId="0121730E">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Project / Program Management</w:t>
            </w:r>
          </w:p>
        </w:tc>
        <w:tc>
          <w:tcPr>
            <w:tcW w:w="0" w:type="auto"/>
            <w:shd w:val="clear"/>
            <w:tcMar>
              <w:top w:w="100" w:type="dxa"/>
              <w:left w:w="100" w:type="dxa"/>
              <w:bottom w:w="100" w:type="dxa"/>
              <w:right w:w="100" w:type="dxa"/>
            </w:tcMar>
            <w:vAlign w:val="top"/>
          </w:tcPr>
          <w:p w14:paraId="5E910CC9">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45</w:t>
            </w:r>
          </w:p>
        </w:tc>
        <w:tc>
          <w:tcPr>
            <w:tcW w:w="0" w:type="auto"/>
            <w:shd w:val="clear"/>
            <w:tcMar>
              <w:top w:w="100" w:type="dxa"/>
              <w:left w:w="100" w:type="dxa"/>
              <w:bottom w:w="100" w:type="dxa"/>
              <w:right w:w="100" w:type="dxa"/>
            </w:tcMar>
            <w:vAlign w:val="top"/>
          </w:tcPr>
          <w:p w14:paraId="161F6CC4">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Project Kickoff, Scope Definition, Work Breakdown, Task Prioritization, Owner Assignment, Timeline, Dependency Mapping, Milestone Tracking, Weekly Project Update, Blocker Identification, Risk Register, RAID Log, Meeting → Tasks, Status Report, Launch Checklist, Retrospective, Cross-functional Handoff</w:t>
            </w:r>
          </w:p>
        </w:tc>
      </w:tr>
      <w:tr w14:paraId="691D55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95" w:hRule="atLeast"/>
        </w:trPr>
        <w:tc>
          <w:tcPr>
            <w:tcW w:w="0" w:type="auto"/>
            <w:shd w:val="clear"/>
            <w:tcMar>
              <w:top w:w="100" w:type="dxa"/>
              <w:left w:w="100" w:type="dxa"/>
              <w:bottom w:w="100" w:type="dxa"/>
              <w:right w:w="100" w:type="dxa"/>
            </w:tcMar>
            <w:vAlign w:val="top"/>
          </w:tcPr>
          <w:p w14:paraId="43C38390">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P1</w:t>
            </w:r>
          </w:p>
        </w:tc>
        <w:tc>
          <w:tcPr>
            <w:tcW w:w="0" w:type="auto"/>
            <w:shd w:val="clear"/>
            <w:tcMar>
              <w:top w:w="100" w:type="dxa"/>
              <w:left w:w="100" w:type="dxa"/>
              <w:bottom w:w="100" w:type="dxa"/>
              <w:right w:w="100" w:type="dxa"/>
            </w:tcMar>
            <w:vAlign w:val="top"/>
          </w:tcPr>
          <w:p w14:paraId="60BEB379">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Strategy &amp; Decision Support</w:t>
            </w:r>
          </w:p>
        </w:tc>
        <w:tc>
          <w:tcPr>
            <w:tcW w:w="0" w:type="auto"/>
            <w:shd w:val="clear"/>
            <w:tcMar>
              <w:top w:w="100" w:type="dxa"/>
              <w:left w:w="100" w:type="dxa"/>
              <w:bottom w:w="100" w:type="dxa"/>
              <w:right w:w="100" w:type="dxa"/>
            </w:tcMar>
            <w:vAlign w:val="top"/>
          </w:tcPr>
          <w:p w14:paraId="24535189">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40</w:t>
            </w:r>
          </w:p>
        </w:tc>
        <w:tc>
          <w:tcPr>
            <w:tcW w:w="0" w:type="auto"/>
            <w:shd w:val="clear"/>
            <w:tcMar>
              <w:top w:w="100" w:type="dxa"/>
              <w:left w:w="100" w:type="dxa"/>
              <w:bottom w:w="100" w:type="dxa"/>
              <w:right w:w="100" w:type="dxa"/>
            </w:tcMar>
            <w:vAlign w:val="top"/>
          </w:tcPr>
          <w:p w14:paraId="15C10DD4">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Strategic Options, Decision Memo, Decision Matrix, Prioritization, Scenario Planning, Risk Analysis, Market Entry, Build vs Buy, Pricing Strategy, Resource Allocation, Opportunity Sizing, SWOT, Strategic Narrative, Assumption Audit, Pre-mortem, Post-mortem, Executive Recommendation</w:t>
            </w:r>
          </w:p>
        </w:tc>
      </w:tr>
      <w:tr w14:paraId="77940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95" w:hRule="atLeast"/>
        </w:trPr>
        <w:tc>
          <w:tcPr>
            <w:tcW w:w="0" w:type="auto"/>
            <w:shd w:val="clear"/>
            <w:tcMar>
              <w:top w:w="100" w:type="dxa"/>
              <w:left w:w="100" w:type="dxa"/>
              <w:bottom w:w="100" w:type="dxa"/>
              <w:right w:w="100" w:type="dxa"/>
            </w:tcMar>
            <w:vAlign w:val="top"/>
          </w:tcPr>
          <w:p w14:paraId="48385A42">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P1</w:t>
            </w:r>
          </w:p>
        </w:tc>
        <w:tc>
          <w:tcPr>
            <w:tcW w:w="0" w:type="auto"/>
            <w:shd w:val="clear"/>
            <w:tcMar>
              <w:top w:w="100" w:type="dxa"/>
              <w:left w:w="100" w:type="dxa"/>
              <w:bottom w:w="100" w:type="dxa"/>
              <w:right w:w="100" w:type="dxa"/>
            </w:tcMar>
            <w:vAlign w:val="top"/>
          </w:tcPr>
          <w:p w14:paraId="2C8101FF">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Partnerships &amp; Business Development</w:t>
            </w:r>
          </w:p>
        </w:tc>
        <w:tc>
          <w:tcPr>
            <w:tcW w:w="0" w:type="auto"/>
            <w:shd w:val="clear"/>
            <w:tcMar>
              <w:top w:w="100" w:type="dxa"/>
              <w:left w:w="100" w:type="dxa"/>
              <w:bottom w:w="100" w:type="dxa"/>
              <w:right w:w="100" w:type="dxa"/>
            </w:tcMar>
            <w:vAlign w:val="top"/>
          </w:tcPr>
          <w:p w14:paraId="3D558478">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35</w:t>
            </w:r>
          </w:p>
        </w:tc>
        <w:tc>
          <w:tcPr>
            <w:tcW w:w="0" w:type="auto"/>
            <w:shd w:val="clear"/>
            <w:tcMar>
              <w:top w:w="100" w:type="dxa"/>
              <w:left w:w="100" w:type="dxa"/>
              <w:bottom w:w="100" w:type="dxa"/>
              <w:right w:w="100" w:type="dxa"/>
            </w:tcMar>
            <w:vAlign w:val="top"/>
          </w:tcPr>
          <w:p w14:paraId="7E06E6CF">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Partner Research, Partner Qualification, Partnership Pitch, Outreach, Partnership Proposal, Mutual Value Mapping, Meeting Prep, Partnership Structure, Negotiation Prep, Sponsorship Proposal, Channel Partnership, Referral Partnership, Integration Partnership, Partner Follow-up, Partnership Review</w:t>
            </w:r>
          </w:p>
        </w:tc>
      </w:tr>
      <w:tr w14:paraId="7B478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95" w:hRule="atLeast"/>
        </w:trPr>
        <w:tc>
          <w:tcPr>
            <w:tcW w:w="0" w:type="auto"/>
            <w:shd w:val="clear"/>
            <w:tcMar>
              <w:top w:w="100" w:type="dxa"/>
              <w:left w:w="100" w:type="dxa"/>
              <w:bottom w:w="100" w:type="dxa"/>
              <w:right w:w="100" w:type="dxa"/>
            </w:tcMar>
            <w:vAlign w:val="top"/>
          </w:tcPr>
          <w:p w14:paraId="2620ADFF">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P1</w:t>
            </w:r>
          </w:p>
        </w:tc>
        <w:tc>
          <w:tcPr>
            <w:tcW w:w="0" w:type="auto"/>
            <w:shd w:val="clear"/>
            <w:tcMar>
              <w:top w:w="100" w:type="dxa"/>
              <w:left w:w="100" w:type="dxa"/>
              <w:bottom w:w="100" w:type="dxa"/>
              <w:right w:w="100" w:type="dxa"/>
            </w:tcMar>
            <w:vAlign w:val="top"/>
          </w:tcPr>
          <w:p w14:paraId="2C7AD748">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Design &amp; Creative Production</w:t>
            </w:r>
          </w:p>
        </w:tc>
        <w:tc>
          <w:tcPr>
            <w:tcW w:w="0" w:type="auto"/>
            <w:shd w:val="clear"/>
            <w:tcMar>
              <w:top w:w="100" w:type="dxa"/>
              <w:left w:w="100" w:type="dxa"/>
              <w:bottom w:w="100" w:type="dxa"/>
              <w:right w:w="100" w:type="dxa"/>
            </w:tcMar>
            <w:vAlign w:val="top"/>
          </w:tcPr>
          <w:p w14:paraId="76C188EB">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35</w:t>
            </w:r>
          </w:p>
        </w:tc>
        <w:tc>
          <w:tcPr>
            <w:tcW w:w="0" w:type="auto"/>
            <w:shd w:val="clear"/>
            <w:tcMar>
              <w:top w:w="100" w:type="dxa"/>
              <w:left w:w="100" w:type="dxa"/>
              <w:bottom w:w="100" w:type="dxa"/>
              <w:right w:w="100" w:type="dxa"/>
            </w:tcMar>
            <w:vAlign w:val="top"/>
          </w:tcPr>
          <w:p w14:paraId="6E80AE76">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Creative Brief, Visual Direction, Moodboard Brief, Brand Asset Review, Image Prompting, On-brand Image Creation, Presentation Storyboard, Slide Critique, Short-form Video Brief, Long Video → Clips, Video Script, Storyboard, Ad Creative Variants, Thumbnail Concepts, Design QA</w:t>
            </w:r>
          </w:p>
        </w:tc>
      </w:tr>
      <w:tr w14:paraId="49316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95" w:hRule="atLeast"/>
        </w:trPr>
        <w:tc>
          <w:tcPr>
            <w:tcW w:w="0" w:type="auto"/>
            <w:shd w:val="clear"/>
            <w:tcMar>
              <w:top w:w="100" w:type="dxa"/>
              <w:left w:w="100" w:type="dxa"/>
              <w:bottom w:w="100" w:type="dxa"/>
              <w:right w:w="100" w:type="dxa"/>
            </w:tcMar>
            <w:vAlign w:val="top"/>
          </w:tcPr>
          <w:p w14:paraId="5478AFF1">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P1</w:t>
            </w:r>
          </w:p>
        </w:tc>
        <w:tc>
          <w:tcPr>
            <w:tcW w:w="0" w:type="auto"/>
            <w:shd w:val="clear"/>
            <w:tcMar>
              <w:top w:w="100" w:type="dxa"/>
              <w:left w:w="100" w:type="dxa"/>
              <w:bottom w:w="100" w:type="dxa"/>
              <w:right w:w="100" w:type="dxa"/>
            </w:tcMar>
            <w:vAlign w:val="top"/>
          </w:tcPr>
          <w:p w14:paraId="10F9D195">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Knowledge Management &amp; Documentation</w:t>
            </w:r>
          </w:p>
        </w:tc>
        <w:tc>
          <w:tcPr>
            <w:tcW w:w="0" w:type="auto"/>
            <w:shd w:val="clear"/>
            <w:tcMar>
              <w:top w:w="100" w:type="dxa"/>
              <w:left w:w="100" w:type="dxa"/>
              <w:bottom w:w="100" w:type="dxa"/>
              <w:right w:w="100" w:type="dxa"/>
            </w:tcMar>
            <w:vAlign w:val="top"/>
          </w:tcPr>
          <w:p w14:paraId="37D99907">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30</w:t>
            </w:r>
          </w:p>
        </w:tc>
        <w:tc>
          <w:tcPr>
            <w:tcW w:w="0" w:type="auto"/>
            <w:shd w:val="clear"/>
            <w:tcMar>
              <w:top w:w="100" w:type="dxa"/>
              <w:left w:w="100" w:type="dxa"/>
              <w:bottom w:w="100" w:type="dxa"/>
              <w:right w:w="100" w:type="dxa"/>
            </w:tcMar>
            <w:vAlign w:val="top"/>
          </w:tcPr>
          <w:p w14:paraId="2C6C96B7">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Meeting → Knowledge Base, SOP Documentation, Internal Wiki, FAQ Extraction, Decision Log, Project Documentation, Knowledge Cleanup, Duplicate Detection, Document Classification, Document Summary, Policy Documentation, Playbook Creation, Institutional Knowledge Capture</w:t>
            </w:r>
          </w:p>
        </w:tc>
      </w:tr>
      <w:tr w14:paraId="78CB5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95" w:hRule="atLeast"/>
        </w:trPr>
        <w:tc>
          <w:tcPr>
            <w:tcW w:w="0" w:type="auto"/>
            <w:shd w:val="clear"/>
            <w:tcMar>
              <w:top w:w="100" w:type="dxa"/>
              <w:left w:w="100" w:type="dxa"/>
              <w:bottom w:w="100" w:type="dxa"/>
              <w:right w:w="100" w:type="dxa"/>
            </w:tcMar>
            <w:vAlign w:val="top"/>
          </w:tcPr>
          <w:p w14:paraId="558209DA">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P2</w:t>
            </w:r>
          </w:p>
        </w:tc>
        <w:tc>
          <w:tcPr>
            <w:tcW w:w="0" w:type="auto"/>
            <w:shd w:val="clear"/>
            <w:tcMar>
              <w:top w:w="100" w:type="dxa"/>
              <w:left w:w="100" w:type="dxa"/>
              <w:bottom w:w="100" w:type="dxa"/>
              <w:right w:w="100" w:type="dxa"/>
            </w:tcMar>
            <w:vAlign w:val="top"/>
          </w:tcPr>
          <w:p w14:paraId="6DC00A67">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Leadership / Founder / Management</w:t>
            </w:r>
          </w:p>
        </w:tc>
        <w:tc>
          <w:tcPr>
            <w:tcW w:w="0" w:type="auto"/>
            <w:shd w:val="clear"/>
            <w:tcMar>
              <w:top w:w="100" w:type="dxa"/>
              <w:left w:w="100" w:type="dxa"/>
              <w:bottom w:w="100" w:type="dxa"/>
              <w:right w:w="100" w:type="dxa"/>
            </w:tcMar>
            <w:vAlign w:val="top"/>
          </w:tcPr>
          <w:p w14:paraId="51776219">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25</w:t>
            </w:r>
          </w:p>
        </w:tc>
        <w:tc>
          <w:tcPr>
            <w:tcW w:w="0" w:type="auto"/>
            <w:shd w:val="clear"/>
            <w:tcMar>
              <w:top w:w="100" w:type="dxa"/>
              <w:left w:w="100" w:type="dxa"/>
              <w:bottom w:w="100" w:type="dxa"/>
              <w:right w:w="100" w:type="dxa"/>
            </w:tcMar>
            <w:vAlign w:val="top"/>
          </w:tcPr>
          <w:p w14:paraId="1C57BA97">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Giving Feedback, Receiving Feedback, 1:1 Prep, Difficult Conversation, Delegation, Goal Setting, Team Alignment, Conflict Resolution, Performance Conversation, Hiring Decision Support, Manager Coaching, Founder Reflection, Co-founder Discussion Prep, Board Meeting Prep, Team Morale Check, Decision Debrief</w:t>
            </w:r>
          </w:p>
        </w:tc>
      </w:tr>
      <w:tr w14:paraId="697F5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895" w:hRule="atLeast"/>
        </w:trPr>
        <w:tc>
          <w:tcPr>
            <w:tcW w:w="0" w:type="auto"/>
            <w:shd w:val="clear"/>
            <w:tcMar>
              <w:top w:w="100" w:type="dxa"/>
              <w:left w:w="100" w:type="dxa"/>
              <w:bottom w:w="100" w:type="dxa"/>
              <w:right w:w="100" w:type="dxa"/>
            </w:tcMar>
            <w:vAlign w:val="top"/>
          </w:tcPr>
          <w:p w14:paraId="2E885C35">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P2</w:t>
            </w:r>
          </w:p>
        </w:tc>
        <w:tc>
          <w:tcPr>
            <w:tcW w:w="0" w:type="auto"/>
            <w:shd w:val="clear"/>
            <w:tcMar>
              <w:top w:w="100" w:type="dxa"/>
              <w:left w:w="100" w:type="dxa"/>
              <w:bottom w:w="100" w:type="dxa"/>
              <w:right w:w="100" w:type="dxa"/>
            </w:tcMar>
            <w:vAlign w:val="top"/>
          </w:tcPr>
          <w:p w14:paraId="75BEAB3A">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Legal / Compliance / Risk</w:t>
            </w:r>
          </w:p>
        </w:tc>
        <w:tc>
          <w:tcPr>
            <w:tcW w:w="0" w:type="auto"/>
            <w:shd w:val="clear"/>
            <w:tcMar>
              <w:top w:w="100" w:type="dxa"/>
              <w:left w:w="100" w:type="dxa"/>
              <w:bottom w:w="100" w:type="dxa"/>
              <w:right w:w="100" w:type="dxa"/>
            </w:tcMar>
            <w:vAlign w:val="top"/>
          </w:tcPr>
          <w:p w14:paraId="25677640">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25</w:t>
            </w:r>
          </w:p>
        </w:tc>
        <w:tc>
          <w:tcPr>
            <w:tcW w:w="0" w:type="auto"/>
            <w:shd w:val="clear"/>
            <w:tcMar>
              <w:top w:w="100" w:type="dxa"/>
              <w:left w:w="100" w:type="dxa"/>
              <w:bottom w:w="100" w:type="dxa"/>
              <w:right w:w="100" w:type="dxa"/>
            </w:tcMar>
            <w:vAlign w:val="top"/>
          </w:tcPr>
          <w:p w14:paraId="4F6130D7">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Contract Review Checklist, NDA Review Checklist, Vendor Contract Comparison, Policy Review, Compliance Checklist, Audit Prep, Risk Identification, Privacy Review, Terms Summary, Regulatory Research, Security Questionnaire Prep, Due-diligence Checklist, Contract Obligation Extraction</w:t>
            </w:r>
          </w:p>
        </w:tc>
      </w:tr>
      <w:tr w14:paraId="443BD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625" w:hRule="atLeast"/>
        </w:trPr>
        <w:tc>
          <w:tcPr>
            <w:tcW w:w="0" w:type="auto"/>
            <w:shd w:val="clear"/>
            <w:tcMar>
              <w:top w:w="100" w:type="dxa"/>
              <w:left w:w="100" w:type="dxa"/>
              <w:bottom w:w="100" w:type="dxa"/>
              <w:right w:w="100" w:type="dxa"/>
            </w:tcMar>
            <w:vAlign w:val="top"/>
          </w:tcPr>
          <w:p w14:paraId="56A79CAC">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P2</w:t>
            </w:r>
          </w:p>
        </w:tc>
        <w:tc>
          <w:tcPr>
            <w:tcW w:w="0" w:type="auto"/>
            <w:shd w:val="clear"/>
            <w:tcMar>
              <w:top w:w="100" w:type="dxa"/>
              <w:left w:w="100" w:type="dxa"/>
              <w:bottom w:w="100" w:type="dxa"/>
              <w:right w:w="100" w:type="dxa"/>
            </w:tcMar>
            <w:vAlign w:val="top"/>
          </w:tcPr>
          <w:p w14:paraId="71C02860">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Community / Events</w:t>
            </w:r>
          </w:p>
        </w:tc>
        <w:tc>
          <w:tcPr>
            <w:tcW w:w="0" w:type="auto"/>
            <w:shd w:val="clear"/>
            <w:tcMar>
              <w:top w:w="100" w:type="dxa"/>
              <w:left w:w="100" w:type="dxa"/>
              <w:bottom w:w="100" w:type="dxa"/>
              <w:right w:w="100" w:type="dxa"/>
            </w:tcMar>
            <w:vAlign w:val="top"/>
          </w:tcPr>
          <w:p w14:paraId="1DD5790E">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15</w:t>
            </w:r>
          </w:p>
        </w:tc>
        <w:tc>
          <w:tcPr>
            <w:tcW w:w="0" w:type="auto"/>
            <w:shd w:val="clear"/>
            <w:tcMar>
              <w:top w:w="100" w:type="dxa"/>
              <w:left w:w="100" w:type="dxa"/>
              <w:bottom w:w="100" w:type="dxa"/>
              <w:right w:w="100" w:type="dxa"/>
            </w:tcMar>
            <w:vAlign w:val="top"/>
          </w:tcPr>
          <w:p w14:paraId="03A34273">
            <w:pPr>
              <w:pStyle w:val="2"/>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bdr w:val="none" w:color="auto" w:sz="0" w:space="0"/>
                <w:vertAlign w:val="baseline"/>
              </w:rPr>
              <w:t>Event Planning, Guest Research, Invitation Writing, Speaker Outreach, Agenda Design, Community Newsletter, Community Engagement, Attendee Follow-up, Event Recap, Sponsorship Outreach, Member Onboarding</w:t>
            </w:r>
          </w:p>
        </w:tc>
      </w:tr>
      <w:tr w14:paraId="1CE78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15" w:hRule="atLeast"/>
        </w:trPr>
        <w:tc>
          <w:tcPr>
            <w:tcW w:w="0" w:type="auto"/>
            <w:shd w:val="clear"/>
            <w:tcMar>
              <w:top w:w="100" w:type="dxa"/>
              <w:left w:w="100" w:type="dxa"/>
              <w:bottom w:w="100" w:type="dxa"/>
              <w:right w:w="100" w:type="dxa"/>
            </w:tcMar>
            <w:vAlign w:val="top"/>
          </w:tcPr>
          <w:p w14:paraId="24D19FCF">
            <w:pPr>
              <w:keepNext w:val="0"/>
              <w:keepLines w:val="0"/>
              <w:widowControl/>
              <w:suppressLineNumbers w:val="0"/>
              <w:bidi w:val="0"/>
              <w:jc w:val="left"/>
              <w:textAlignment w:val="top"/>
            </w:pPr>
          </w:p>
        </w:tc>
        <w:tc>
          <w:tcPr>
            <w:tcW w:w="0" w:type="auto"/>
            <w:shd w:val="clear"/>
            <w:tcMar>
              <w:top w:w="100" w:type="dxa"/>
              <w:left w:w="100" w:type="dxa"/>
              <w:bottom w:w="100" w:type="dxa"/>
              <w:right w:w="100" w:type="dxa"/>
            </w:tcMar>
            <w:vAlign w:val="top"/>
          </w:tcPr>
          <w:p w14:paraId="212DC3FF">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TOTAL</w:t>
            </w:r>
          </w:p>
        </w:tc>
        <w:tc>
          <w:tcPr>
            <w:tcW w:w="0" w:type="auto"/>
            <w:shd w:val="clear"/>
            <w:tcMar>
              <w:top w:w="100" w:type="dxa"/>
              <w:left w:w="100" w:type="dxa"/>
              <w:bottom w:w="100" w:type="dxa"/>
              <w:right w:w="100" w:type="dxa"/>
            </w:tcMar>
            <w:vAlign w:val="top"/>
          </w:tcPr>
          <w:p w14:paraId="7B4118F5">
            <w:pPr>
              <w:pStyle w:val="2"/>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000000"/>
                <w:sz w:val="22"/>
                <w:szCs w:val="22"/>
                <w:u w:val="none"/>
                <w:bdr w:val="none" w:color="auto" w:sz="0" w:space="0"/>
                <w:vertAlign w:val="baseline"/>
              </w:rPr>
              <w:t>1,000</w:t>
            </w:r>
          </w:p>
        </w:tc>
        <w:tc>
          <w:tcPr>
            <w:tcW w:w="0" w:type="auto"/>
            <w:shd w:val="clear"/>
            <w:tcMar>
              <w:top w:w="100" w:type="dxa"/>
              <w:left w:w="100" w:type="dxa"/>
              <w:bottom w:w="100" w:type="dxa"/>
              <w:right w:w="100" w:type="dxa"/>
            </w:tcMar>
            <w:vAlign w:val="top"/>
          </w:tcPr>
          <w:p w14:paraId="7BC177ED">
            <w:pPr>
              <w:keepNext w:val="0"/>
              <w:keepLines w:val="0"/>
              <w:widowControl/>
              <w:suppressLineNumbers w:val="0"/>
              <w:bidi w:val="0"/>
              <w:jc w:val="left"/>
              <w:textAlignment w:val="top"/>
            </w:pPr>
          </w:p>
        </w:tc>
      </w:tr>
    </w:tbl>
    <w:p w14:paraId="24C9AFD8">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B16754"/>
    <w:rsid w:val="55B167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2026-10-02T06:36:00Z</dcterms:created>
  <dc:creator>XXXJCSAMA</dc:creator>
  <cp:lastModifiedBy>XXXJCSAMA</cp:lastModifiedBy>
  <dcterms:modified xsi:type="dcterms:W3CDTF">2026-10-02T06:37:05Z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5DF201A4749F4E41870EBBFD51B6A74A_11</vt:lpwstr>
  </property>
  <property fmtid="{D5CDD505-2E9C-101B-9397-08002B2CF9AE}" pid="4" name="KSOTemplateDocerSaveRecord">
    <vt:lpwstr>eyJoZGlkIjoiZDk2YjYxNTM3MmExYTdkN2RiMzhmZDExOTdhMTJkMTgiLCJ1c2VySWQiOiIxMzM1ODczMjAyIn0=</vt:lpwstr>
  </property>
</Properties>
</file>