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宋体" w:hAnsi="宋体" w:eastAsia="宋体"/>
          <w:color w:val="595959"/>
          <w:sz w:val="20"/>
        </w:rPr>
        <w:t>本资料仅供内部使用</w:t>
      </w:r>
    </w:p>
    <w:p/>
    <w:p/>
    <w:p>
      <w:pPr>
        <w:jc w:val="center"/>
      </w:pPr>
      <w:r>
        <w:rPr>
          <w:rFonts w:ascii="黑体" w:hAnsi="黑体" w:eastAsia="黑体"/>
          <w:b/>
          <w:sz w:val="36"/>
        </w:rPr>
        <w:t>项目名称</w:t>
      </w:r>
    </w:p>
    <w:p>
      <w:pPr>
        <w:jc w:val="center"/>
      </w:pPr>
      <w:r>
        <w:rPr>
          <w:rFonts w:ascii="黑体" w:hAnsi="黑体" w:eastAsia="黑体"/>
          <w:b/>
          <w:color w:val="1F4E79"/>
          <w:sz w:val="40"/>
        </w:rPr>
        <w:t>LinkEdu——师生协同的 AI 全场景教育平台</w:t>
      </w:r>
    </w:p>
    <w:p/>
    <w:p/>
    <w:p>
      <w:pPr>
        <w:jc w:val="center"/>
      </w:pPr>
      <w:r>
        <w:rPr>
          <w:rFonts w:ascii="黑体" w:hAnsi="黑体" w:eastAsia="黑体"/>
          <w:b/>
          <w:color w:val="2E74B5"/>
          <w:sz w:val="52"/>
        </w:rPr>
        <w:t>调 研 报 告</w:t>
      </w:r>
    </w:p>
    <w:p/>
    <w:p/>
    <w:p/>
    <w:p/>
    <w:p>
      <w:pPr>
        <w:jc w:val="center"/>
      </w:pPr>
      <w:r>
        <w:rPr>
          <w:rFonts w:ascii="宋体" w:hAnsi="宋体" w:eastAsia="宋体"/>
          <w:sz w:val="28"/>
        </w:rPr>
        <w:t>LinkEdu 项目组</w:t>
      </w:r>
    </w:p>
    <w:p>
      <w:pPr>
        <w:jc w:val="center"/>
      </w:pPr>
      <w:r>
        <w:rPr>
          <w:rFonts w:ascii="宋体" w:hAnsi="宋体" w:eastAsia="宋体"/>
          <w:sz w:val="28"/>
        </w:rPr>
        <w:t>2026年06月29日</w:t>
      </w:r>
    </w:p>
    <w:p>
      <w:r>
        <w:br w:type="page"/>
      </w:r>
    </w:p>
    <w:p>
      <w:pPr>
        <w:pStyle w:val="Heading1"/>
        <w:jc w:val="center"/>
      </w:pPr>
      <w:r>
        <w:rPr>
          <w:rFonts w:ascii="黑体" w:hAnsi="黑体" w:eastAsia="黑体"/>
          <w:b/>
          <w:color w:val="2E74B5"/>
          <w:sz w:val="32"/>
        </w:rPr>
        <w:t>项目修改记录</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800"/>
        <w:gridCol w:w="1800"/>
        <w:gridCol w:w="1800"/>
        <w:gridCol w:w="3960"/>
      </w:tblGrid>
      <w:tr>
        <w:tc>
          <w:tcPr>
            <w:tcW w:type="dxa" w:w="1800"/>
            <w:shd w:fill="E8EEF5"/>
            <w:vAlign w:val="center"/>
          </w:tcPr>
          <w:p>
            <w:pPr>
              <w:spacing w:after="0" w:line="269" w:lineRule="auto"/>
              <w:jc w:val="center"/>
            </w:pPr>
            <w:r>
              <w:rPr>
                <w:rFonts w:ascii="宋体" w:hAnsi="宋体" w:eastAsia="宋体"/>
                <w:b/>
                <w:sz w:val="19"/>
              </w:rPr>
              <w:t>制定日期</w:t>
            </w:r>
          </w:p>
        </w:tc>
        <w:tc>
          <w:tcPr>
            <w:tcW w:type="dxa" w:w="1800"/>
            <w:shd w:fill="E8EEF5"/>
            <w:vAlign w:val="center"/>
          </w:tcPr>
          <w:p>
            <w:pPr>
              <w:spacing w:after="0" w:line="269" w:lineRule="auto"/>
              <w:jc w:val="center"/>
            </w:pPr>
            <w:r>
              <w:rPr>
                <w:rFonts w:ascii="宋体" w:hAnsi="宋体" w:eastAsia="宋体"/>
                <w:b/>
                <w:sz w:val="19"/>
              </w:rPr>
              <w:t>生效日期</w:t>
            </w:r>
          </w:p>
        </w:tc>
        <w:tc>
          <w:tcPr>
            <w:tcW w:type="dxa" w:w="1800"/>
            <w:shd w:fill="E8EEF5"/>
            <w:vAlign w:val="center"/>
          </w:tcPr>
          <w:p>
            <w:pPr>
              <w:spacing w:after="0" w:line="269" w:lineRule="auto"/>
              <w:jc w:val="center"/>
            </w:pPr>
            <w:r>
              <w:rPr>
                <w:rFonts w:ascii="宋体" w:hAnsi="宋体" w:eastAsia="宋体"/>
                <w:b/>
                <w:sz w:val="19"/>
              </w:rPr>
              <w:t>制定 / 修订</w:t>
            </w:r>
          </w:p>
        </w:tc>
        <w:tc>
          <w:tcPr>
            <w:tcW w:type="dxa" w:w="3960"/>
            <w:shd w:fill="E8EEF5"/>
            <w:vAlign w:val="center"/>
          </w:tcPr>
          <w:p>
            <w:pPr>
              <w:spacing w:after="0" w:line="269" w:lineRule="auto"/>
              <w:jc w:val="center"/>
            </w:pPr>
            <w:r>
              <w:rPr>
                <w:rFonts w:ascii="宋体" w:hAnsi="宋体" w:eastAsia="宋体"/>
                <w:b/>
                <w:sz w:val="19"/>
              </w:rPr>
              <w:t>内容摘要</w:t>
            </w:r>
          </w:p>
        </w:tc>
      </w:tr>
      <w:tr>
        <w:tc>
          <w:tcPr>
            <w:tcW w:type="dxa" w:w="1800"/>
            <w:vAlign w:val="center"/>
          </w:tcPr>
          <w:p>
            <w:pPr>
              <w:spacing w:after="0" w:line="269" w:lineRule="auto"/>
              <w:jc w:val="center"/>
            </w:pPr>
            <w:r>
              <w:rPr>
                <w:rFonts w:ascii="宋体" w:hAnsi="宋体" w:eastAsia="宋体"/>
                <w:sz w:val="19"/>
              </w:rPr>
              <w:t>2026-06-29</w:t>
            </w:r>
          </w:p>
        </w:tc>
        <w:tc>
          <w:tcPr>
            <w:tcW w:type="dxa" w:w="1800"/>
            <w:vAlign w:val="center"/>
          </w:tcPr>
          <w:p>
            <w:pPr>
              <w:spacing w:after="0" w:line="269" w:lineRule="auto"/>
              <w:jc w:val="center"/>
            </w:pPr>
            <w:r>
              <w:rPr>
                <w:rFonts w:ascii="宋体" w:hAnsi="宋体" w:eastAsia="宋体"/>
                <w:sz w:val="19"/>
              </w:rPr>
              <w:t>2026-06-29</w:t>
            </w:r>
          </w:p>
        </w:tc>
        <w:tc>
          <w:tcPr>
            <w:tcW w:type="dxa" w:w="1800"/>
            <w:vAlign w:val="center"/>
          </w:tcPr>
          <w:p>
            <w:pPr>
              <w:spacing w:after="0" w:line="269" w:lineRule="auto"/>
              <w:jc w:val="center"/>
            </w:pPr>
            <w:r>
              <w:rPr>
                <w:rFonts w:ascii="宋体" w:hAnsi="宋体" w:eastAsia="宋体"/>
                <w:sz w:val="19"/>
              </w:rPr>
              <w:t>制定</w:t>
            </w:r>
          </w:p>
        </w:tc>
        <w:tc>
          <w:tcPr>
            <w:tcW w:type="dxa" w:w="3960"/>
            <w:vAlign w:val="center"/>
          </w:tcPr>
          <w:p>
            <w:pPr>
              <w:spacing w:after="0" w:line="269" w:lineRule="auto"/>
              <w:jc w:val="left"/>
            </w:pPr>
            <w:r>
              <w:rPr>
                <w:rFonts w:ascii="宋体" w:hAnsi="宋体" w:eastAsia="宋体"/>
                <w:sz w:val="19"/>
              </w:rPr>
              <w:t>依据作品报告、调研报告模板及公开资料完成 LinkEdu 产品调研报告初稿。</w:t>
            </w:r>
          </w:p>
        </w:tc>
      </w:tr>
    </w:tbl>
    <w:p>
      <w:pPr>
        <w:pStyle w:val="Heading1"/>
        <w:jc w:val="center"/>
      </w:pPr>
      <w:r>
        <w:rPr>
          <w:rFonts w:ascii="黑体" w:hAnsi="黑体" w:eastAsia="黑体"/>
          <w:b/>
          <w:color w:val="2E74B5"/>
          <w:sz w:val="32"/>
        </w:rPr>
        <w:t>体系修改记录</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800"/>
        <w:gridCol w:w="1800"/>
        <w:gridCol w:w="1800"/>
        <w:gridCol w:w="3960"/>
      </w:tblGrid>
      <w:tr>
        <w:tc>
          <w:tcPr>
            <w:tcW w:type="dxa" w:w="1800"/>
            <w:shd w:fill="E8EEF5"/>
            <w:vAlign w:val="center"/>
          </w:tcPr>
          <w:p>
            <w:pPr>
              <w:spacing w:after="0" w:line="269" w:lineRule="auto"/>
              <w:jc w:val="center"/>
            </w:pPr>
            <w:r>
              <w:rPr>
                <w:rFonts w:ascii="宋体" w:hAnsi="宋体" w:eastAsia="宋体"/>
                <w:b/>
                <w:sz w:val="19"/>
              </w:rPr>
              <w:t>制定日期</w:t>
            </w:r>
          </w:p>
        </w:tc>
        <w:tc>
          <w:tcPr>
            <w:tcW w:type="dxa" w:w="1800"/>
            <w:shd w:fill="E8EEF5"/>
            <w:vAlign w:val="center"/>
          </w:tcPr>
          <w:p>
            <w:pPr>
              <w:spacing w:after="0" w:line="269" w:lineRule="auto"/>
              <w:jc w:val="center"/>
            </w:pPr>
            <w:r>
              <w:rPr>
                <w:rFonts w:ascii="宋体" w:hAnsi="宋体" w:eastAsia="宋体"/>
                <w:b/>
                <w:sz w:val="19"/>
              </w:rPr>
              <w:t>生效日期</w:t>
            </w:r>
          </w:p>
        </w:tc>
        <w:tc>
          <w:tcPr>
            <w:tcW w:type="dxa" w:w="1800"/>
            <w:shd w:fill="E8EEF5"/>
            <w:vAlign w:val="center"/>
          </w:tcPr>
          <w:p>
            <w:pPr>
              <w:spacing w:after="0" w:line="269" w:lineRule="auto"/>
              <w:jc w:val="center"/>
            </w:pPr>
            <w:r>
              <w:rPr>
                <w:rFonts w:ascii="宋体" w:hAnsi="宋体" w:eastAsia="宋体"/>
                <w:b/>
                <w:sz w:val="19"/>
              </w:rPr>
              <w:t>制定 / 修订</w:t>
            </w:r>
          </w:p>
        </w:tc>
        <w:tc>
          <w:tcPr>
            <w:tcW w:type="dxa" w:w="3960"/>
            <w:shd w:fill="E8EEF5"/>
            <w:vAlign w:val="center"/>
          </w:tcPr>
          <w:p>
            <w:pPr>
              <w:spacing w:after="0" w:line="269" w:lineRule="auto"/>
              <w:jc w:val="center"/>
            </w:pPr>
            <w:r>
              <w:rPr>
                <w:rFonts w:ascii="宋体" w:hAnsi="宋体" w:eastAsia="宋体"/>
                <w:b/>
                <w:sz w:val="19"/>
              </w:rPr>
              <w:t>内容摘要</w:t>
            </w:r>
          </w:p>
        </w:tc>
      </w:tr>
      <w:tr>
        <w:tc>
          <w:tcPr>
            <w:tcW w:type="dxa" w:w="1800"/>
            <w:vAlign w:val="center"/>
          </w:tcPr>
          <w:p>
            <w:pPr>
              <w:spacing w:after="0" w:line="269" w:lineRule="auto"/>
              <w:jc w:val="center"/>
            </w:pPr>
            <w:r>
              <w:rPr>
                <w:rFonts w:ascii="宋体" w:hAnsi="宋体" w:eastAsia="宋体"/>
                <w:sz w:val="19"/>
              </w:rPr>
              <w:t>2026-06-29</w:t>
            </w:r>
          </w:p>
        </w:tc>
        <w:tc>
          <w:tcPr>
            <w:tcW w:type="dxa" w:w="1800"/>
            <w:vAlign w:val="center"/>
          </w:tcPr>
          <w:p>
            <w:pPr>
              <w:spacing w:after="0" w:line="269" w:lineRule="auto"/>
              <w:jc w:val="center"/>
            </w:pPr>
            <w:r>
              <w:rPr>
                <w:rFonts w:ascii="宋体" w:hAnsi="宋体" w:eastAsia="宋体"/>
                <w:sz w:val="19"/>
              </w:rPr>
              <w:t>2026-06-29</w:t>
            </w:r>
          </w:p>
        </w:tc>
        <w:tc>
          <w:tcPr>
            <w:tcW w:type="dxa" w:w="1800"/>
            <w:vAlign w:val="center"/>
          </w:tcPr>
          <w:p>
            <w:pPr>
              <w:spacing w:after="0" w:line="269" w:lineRule="auto"/>
              <w:jc w:val="center"/>
            </w:pPr>
            <w:r>
              <w:rPr>
                <w:rFonts w:ascii="宋体" w:hAnsi="宋体" w:eastAsia="宋体"/>
                <w:sz w:val="19"/>
              </w:rPr>
              <w:t>制定</w:t>
            </w:r>
          </w:p>
        </w:tc>
        <w:tc>
          <w:tcPr>
            <w:tcW w:type="dxa" w:w="3960"/>
            <w:vAlign w:val="center"/>
          </w:tcPr>
          <w:p>
            <w:pPr>
              <w:spacing w:after="0" w:line="269" w:lineRule="auto"/>
              <w:jc w:val="left"/>
            </w:pPr>
            <w:r>
              <w:rPr>
                <w:rFonts w:ascii="宋体" w:hAnsi="宋体" w:eastAsia="宋体"/>
                <w:sz w:val="19"/>
              </w:rPr>
              <w:t>建立产品介绍、市场概述、可行性分析、发展目标、技术方案与参考资料的报告体系。</w:t>
            </w:r>
          </w:p>
        </w:tc>
      </w:tr>
    </w:tbl>
    <w:p>
      <w:r>
        <w:br w:type="page"/>
      </w:r>
    </w:p>
    <w:p>
      <w:pPr>
        <w:pStyle w:val="Heading1"/>
        <w:jc w:val="center"/>
      </w:pPr>
      <w:r>
        <w:rPr>
          <w:rFonts w:ascii="黑体" w:hAnsi="黑体" w:eastAsia="黑体"/>
          <w:b/>
          <w:color w:val="2E74B5"/>
          <w:sz w:val="32"/>
        </w:rPr>
        <w:t>目 录</w:t>
      </w:r>
    </w:p>
    <w:p>
      <w:r>
        <w:fldChar w:fldCharType="begin"/>
        <w:instrText xml:space="preserve">TOC \o "1-3" \h \z \u</w:instrText>
        <w:fldChar w:fldCharType="separate"/>
        <w:fldChar w:fldCharType="end"/>
      </w:r>
    </w:p>
    <w:p>
      <w:r>
        <w:br w:type="page"/>
      </w:r>
    </w:p>
    <w:p>
      <w:pPr>
        <w:pStyle w:val="Heading1"/>
        <w:jc w:val="center"/>
      </w:pPr>
      <w:r>
        <w:rPr>
          <w:rFonts w:ascii="黑体" w:hAnsi="黑体" w:eastAsia="黑体"/>
          <w:b/>
          <w:color w:val="2E74B5"/>
          <w:sz w:val="32"/>
        </w:rPr>
        <w:t>1 产品介绍</w:t>
      </w:r>
    </w:p>
    <w:p>
      <w:pPr>
        <w:pStyle w:val="Heading2"/>
      </w:pPr>
      <w:r>
        <w:rPr>
          <w:rFonts w:ascii="黑体" w:hAnsi="黑体" w:eastAsia="黑体"/>
          <w:b/>
          <w:color w:val="2E74B5"/>
          <w:sz w:val="28"/>
        </w:rPr>
        <w:t>1.1 产品定义</w:t>
      </w:r>
    </w:p>
    <w:p>
      <w:pPr>
        <w:spacing w:after="120" w:line="300" w:lineRule="auto"/>
        <w:ind w:firstLine="420"/>
      </w:pPr>
      <w:r>
        <w:rPr>
          <w:rFonts w:ascii="宋体" w:hAnsi="宋体" w:eastAsia="宋体"/>
          <w:sz w:val="21"/>
        </w:rPr>
        <w:t>LinkEdu 是一套面向教师、学生及教研团队的师生协同 AI 全场景教育平台。系统以“真实教学资料”为输入，以大模型、Agent 编排、多模态生成和学习数据分析为核心能力，覆盖教师备课、课堂资源生成、学生学习、错题诊断和学习复盘等环节。与单一问答工具不同，LinkEdu 不是只提供通用聊天入口，而是围绕教学任务建立教师端和学生端双角色工作台，使教学资料、生成内容、历史记录和学习反馈形成闭环。</w:t>
      </w:r>
    </w:p>
    <w:p>
      <w:pPr>
        <w:spacing w:after="120" w:line="300" w:lineRule="auto"/>
        <w:ind w:firstLine="420"/>
      </w:pPr>
      <w:r>
        <w:rPr>
          <w:rFonts w:ascii="宋体" w:hAnsi="宋体" w:eastAsia="宋体"/>
          <w:sz w:val="21"/>
        </w:rPr>
        <w:t>根据现有作品报告，系统已经实现教师端与学生端双入口，教师端提供教案生成、测验与试卷生成、教学幻灯片、教学视频、B 站视频备课和教学记录汇等功能；学生端提供智能笔记、知识卡片、AI 播客、错题本、英语口语、学习记录汇和 B 站视频学习等功能。系统已在三台县凤凰小学和三台县乐安中学完成公网部署与展示验证，具备从课程设计原型走向真实教学试点的基础。</w:t>
      </w:r>
    </w:p>
    <w:p>
      <w:pPr>
        <w:pStyle w:val="Heading2"/>
      </w:pPr>
      <w:r>
        <w:rPr>
          <w:rFonts w:ascii="黑体" w:hAnsi="黑体" w:eastAsia="黑体"/>
          <w:b/>
          <w:color w:val="2E74B5"/>
          <w:sz w:val="28"/>
        </w:rPr>
        <w:t>1.2 产品开发背景</w:t>
      </w:r>
    </w:p>
    <w:p>
      <w:pPr>
        <w:spacing w:after="120" w:line="300" w:lineRule="auto"/>
        <w:ind w:firstLine="420"/>
      </w:pPr>
      <w:r>
        <w:rPr>
          <w:rFonts w:ascii="宋体" w:hAnsi="宋体" w:eastAsia="宋体"/>
          <w:sz w:val="21"/>
        </w:rPr>
        <w:t>当前教学场景中，教师备课材料来源分散，教材、课件、讲义、网络视频和历史教案之间缺少统一组织方式；学生课后学习工具也常常分散在笔记软件、题库、错题本和视频平台之间，难以沉淀连续学习记录。基层学校和县域学校在优质数字资源获取、智能化工具部署、教师培训支持方面仍存在差距，因此更需要一种轻量、可部署、可围绕本校资料运行的智能教育工具。</w:t>
      </w:r>
    </w:p>
    <w:p>
      <w:pPr>
        <w:spacing w:after="120" w:line="300" w:lineRule="auto"/>
        <w:ind w:firstLine="420"/>
      </w:pPr>
      <w:r>
        <w:rPr>
          <w:rFonts w:ascii="宋体" w:hAnsi="宋体" w:eastAsia="宋体"/>
          <w:sz w:val="21"/>
        </w:rPr>
        <w:t>从技术环境看，生成式 AI 正在快速进入教育场景。UNESCO 在生成式 AI 教育与研究指南中强调，教育场景应重视以人为本、数据隐私、年龄适配和教学设计，而不能只追求工具新颖性</w:t>
      </w:r>
      <w:r>
        <w:rPr>
          <w:rFonts w:ascii="宋体" w:hAnsi="宋体" w:eastAsia="宋体"/>
          <w:color w:val="1F4E79"/>
          <w:sz w:val="21"/>
        </w:rPr>
        <w:t>[2]</w:t>
      </w:r>
      <w:r>
        <w:rPr>
          <w:rFonts w:ascii="宋体" w:hAnsi="宋体" w:eastAsia="宋体"/>
          <w:sz w:val="21"/>
        </w:rPr>
        <w:t>。国家网信办等部门发布的《生成式人工智能服务管理暂行办法》也明确要求生成式 AI 服务在数据来源、个人信息保护、内容安全、透明度和未成年人保护方面承担责任</w:t>
      </w:r>
      <w:r>
        <w:rPr>
          <w:rFonts w:ascii="宋体" w:hAnsi="宋体" w:eastAsia="宋体"/>
          <w:color w:val="1F4E79"/>
          <w:sz w:val="21"/>
        </w:rPr>
        <w:t>[1]</w:t>
      </w:r>
      <w:r>
        <w:rPr>
          <w:rFonts w:ascii="宋体" w:hAnsi="宋体" w:eastAsia="宋体"/>
          <w:sz w:val="21"/>
        </w:rPr>
        <w:t>。这说明教育 AI 产品既有发展机会，也必须在合规、安全和教学有效性之间取得平衡。</w:t>
      </w:r>
    </w:p>
    <w:p>
      <w:pPr>
        <w:spacing w:after="120" w:line="300" w:lineRule="auto"/>
        <w:ind w:firstLine="420"/>
      </w:pPr>
      <w:r>
        <w:rPr>
          <w:rFonts w:ascii="宋体" w:hAnsi="宋体" w:eastAsia="宋体"/>
          <w:sz w:val="21"/>
        </w:rPr>
        <w:t>LinkEdu 的开发背景正是这一矛盾：一方面，教师和学生希望通过 AI 降低备课、学习和复盘成本；另一方面，教育产品又必须避免“离开教材空泛生成”“过度依赖模型”“学生隐私与学习数据失控”等问题。因此，LinkEdu 选择以资料增强、角色隔离、本地化存储和分阶段生成作为产品底座。</w:t>
      </w:r>
    </w:p>
    <w:p>
      <w:pPr>
        <w:pStyle w:val="Heading2"/>
      </w:pPr>
      <w:r>
        <w:rPr>
          <w:rFonts w:ascii="黑体" w:hAnsi="黑体" w:eastAsia="黑体"/>
          <w:b/>
          <w:color w:val="2E74B5"/>
          <w:sz w:val="28"/>
        </w:rPr>
        <w:t>1.3 产品主要功能和特色</w:t>
      </w:r>
    </w:p>
    <w:p>
      <w:pPr>
        <w:spacing w:after="120" w:line="300" w:lineRule="auto"/>
        <w:ind w:firstLine="420"/>
      </w:pPr>
      <w:r>
        <w:rPr>
          <w:rFonts w:ascii="宋体" w:hAnsi="宋体" w:eastAsia="宋体"/>
          <w:sz w:val="21"/>
        </w:rPr>
        <w:t>LinkEdu 的核心功能可以概括为教师端、学生端、资料与智能服务四类模块。教师端聚焦教学资源生产，学生端聚焦个性化学习和复盘，资料模块负责 PDF、DOCX、Markdown、TXT 等文件接入，智能服务模块负责大模型调用、Agent 编排、多模态生成和结果持久化。</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700"/>
        <w:gridCol w:w="3100"/>
        <w:gridCol w:w="4560"/>
      </w:tblGrid>
      <w:tr>
        <w:tc>
          <w:tcPr>
            <w:tcW w:type="dxa" w:w="1700"/>
            <w:shd w:fill="E8EEF5"/>
            <w:vAlign w:val="center"/>
          </w:tcPr>
          <w:p>
            <w:pPr>
              <w:spacing w:after="0" w:line="269" w:lineRule="auto"/>
              <w:jc w:val="center"/>
            </w:pPr>
            <w:r>
              <w:rPr>
                <w:rFonts w:ascii="宋体" w:hAnsi="宋体" w:eastAsia="宋体"/>
                <w:b/>
                <w:sz w:val="19"/>
              </w:rPr>
              <w:t>模块</w:t>
            </w:r>
          </w:p>
        </w:tc>
        <w:tc>
          <w:tcPr>
            <w:tcW w:type="dxa" w:w="3100"/>
            <w:shd w:fill="E8EEF5"/>
            <w:vAlign w:val="center"/>
          </w:tcPr>
          <w:p>
            <w:pPr>
              <w:spacing w:after="0" w:line="269" w:lineRule="auto"/>
              <w:jc w:val="center"/>
            </w:pPr>
            <w:r>
              <w:rPr>
                <w:rFonts w:ascii="宋体" w:hAnsi="宋体" w:eastAsia="宋体"/>
                <w:b/>
                <w:sz w:val="19"/>
              </w:rPr>
              <w:t>主要功能</w:t>
            </w:r>
          </w:p>
        </w:tc>
        <w:tc>
          <w:tcPr>
            <w:tcW w:type="dxa" w:w="4560"/>
            <w:shd w:fill="E8EEF5"/>
            <w:vAlign w:val="center"/>
          </w:tcPr>
          <w:p>
            <w:pPr>
              <w:spacing w:after="0" w:line="269" w:lineRule="auto"/>
              <w:jc w:val="center"/>
            </w:pPr>
            <w:r>
              <w:rPr>
                <w:rFonts w:ascii="宋体" w:hAnsi="宋体" w:eastAsia="宋体"/>
                <w:b/>
                <w:sz w:val="19"/>
              </w:rPr>
              <w:t>产品价值</w:t>
            </w:r>
          </w:p>
        </w:tc>
      </w:tr>
      <w:tr>
        <w:tc>
          <w:tcPr>
            <w:tcW w:type="dxa" w:w="1700"/>
            <w:vAlign w:val="center"/>
          </w:tcPr>
          <w:p>
            <w:pPr>
              <w:spacing w:after="0" w:line="269" w:lineRule="auto"/>
              <w:jc w:val="center"/>
            </w:pPr>
            <w:r>
              <w:rPr>
                <w:rFonts w:ascii="宋体" w:hAnsi="宋体" w:eastAsia="宋体"/>
                <w:sz w:val="19"/>
              </w:rPr>
              <w:t>教师端</w:t>
            </w:r>
          </w:p>
        </w:tc>
        <w:tc>
          <w:tcPr>
            <w:tcW w:type="dxa" w:w="3100"/>
            <w:vAlign w:val="center"/>
          </w:tcPr>
          <w:p>
            <w:pPr>
              <w:spacing w:after="0" w:line="269" w:lineRule="auto"/>
              <w:jc w:val="left"/>
            </w:pPr>
            <w:r>
              <w:rPr>
                <w:rFonts w:ascii="宋体" w:hAnsi="宋体" w:eastAsia="宋体"/>
                <w:sz w:val="19"/>
              </w:rPr>
              <w:t>教案生成、测验/试卷生成、教学幻灯片、教学视频、B站视频备课、教学记录汇</w:t>
            </w:r>
          </w:p>
        </w:tc>
        <w:tc>
          <w:tcPr>
            <w:tcW w:type="dxa" w:w="4560"/>
            <w:vAlign w:val="center"/>
          </w:tcPr>
          <w:p>
            <w:pPr>
              <w:spacing w:after="0" w:line="269" w:lineRule="auto"/>
              <w:jc w:val="left"/>
            </w:pPr>
            <w:r>
              <w:rPr>
                <w:rFonts w:ascii="宋体" w:hAnsi="宋体" w:eastAsia="宋体"/>
                <w:sz w:val="19"/>
              </w:rPr>
              <w:t>降低备课材料整理和课堂资源制作成本，帮助教师围绕真实资料快速形成可用成果。</w:t>
            </w:r>
          </w:p>
        </w:tc>
      </w:tr>
      <w:tr>
        <w:tc>
          <w:tcPr>
            <w:tcW w:type="dxa" w:w="1700"/>
            <w:vAlign w:val="center"/>
          </w:tcPr>
          <w:p>
            <w:pPr>
              <w:spacing w:after="0" w:line="269" w:lineRule="auto"/>
              <w:jc w:val="center"/>
            </w:pPr>
            <w:r>
              <w:rPr>
                <w:rFonts w:ascii="宋体" w:hAnsi="宋体" w:eastAsia="宋体"/>
                <w:sz w:val="19"/>
              </w:rPr>
              <w:t>学生端</w:t>
            </w:r>
          </w:p>
        </w:tc>
        <w:tc>
          <w:tcPr>
            <w:tcW w:type="dxa" w:w="3100"/>
            <w:vAlign w:val="center"/>
          </w:tcPr>
          <w:p>
            <w:pPr>
              <w:spacing w:after="0" w:line="269" w:lineRule="auto"/>
              <w:jc w:val="left"/>
            </w:pPr>
            <w:r>
              <w:rPr>
                <w:rFonts w:ascii="宋体" w:hAnsi="宋体" w:eastAsia="宋体"/>
                <w:sz w:val="19"/>
              </w:rPr>
              <w:t>智能笔记、知识卡片、AI播客、错题本、英语口语、学习记录汇、B站视频学习</w:t>
            </w:r>
          </w:p>
        </w:tc>
        <w:tc>
          <w:tcPr>
            <w:tcW w:type="dxa" w:w="4560"/>
            <w:vAlign w:val="center"/>
          </w:tcPr>
          <w:p>
            <w:pPr>
              <w:spacing w:after="0" w:line="269" w:lineRule="auto"/>
              <w:jc w:val="left"/>
            </w:pPr>
            <w:r>
              <w:rPr>
                <w:rFonts w:ascii="宋体" w:hAnsi="宋体" w:eastAsia="宋体"/>
                <w:sz w:val="19"/>
              </w:rPr>
              <w:t>帮助学生完成资料理解、知识巩固、错题诊断和持续复习。</w:t>
            </w:r>
          </w:p>
        </w:tc>
      </w:tr>
      <w:tr>
        <w:tc>
          <w:tcPr>
            <w:tcW w:type="dxa" w:w="1700"/>
            <w:vAlign w:val="center"/>
          </w:tcPr>
          <w:p>
            <w:pPr>
              <w:spacing w:after="0" w:line="269" w:lineRule="auto"/>
              <w:jc w:val="center"/>
            </w:pPr>
            <w:r>
              <w:rPr>
                <w:rFonts w:ascii="宋体" w:hAnsi="宋体" w:eastAsia="宋体"/>
                <w:sz w:val="19"/>
              </w:rPr>
              <w:t>资料管理</w:t>
            </w:r>
          </w:p>
        </w:tc>
        <w:tc>
          <w:tcPr>
            <w:tcW w:type="dxa" w:w="3100"/>
            <w:vAlign w:val="center"/>
          </w:tcPr>
          <w:p>
            <w:pPr>
              <w:spacing w:after="0" w:line="269" w:lineRule="auto"/>
              <w:jc w:val="left"/>
            </w:pPr>
            <w:r>
              <w:rPr>
                <w:rFonts w:ascii="宋体" w:hAnsi="宋体" w:eastAsia="宋体"/>
                <w:sz w:val="19"/>
              </w:rPr>
              <w:t>文件库、资料解析、上下文拼接、同名 sidecar 文本优先读取</w:t>
            </w:r>
          </w:p>
        </w:tc>
        <w:tc>
          <w:tcPr>
            <w:tcW w:type="dxa" w:w="4560"/>
            <w:vAlign w:val="center"/>
          </w:tcPr>
          <w:p>
            <w:pPr>
              <w:spacing w:after="0" w:line="269" w:lineRule="auto"/>
              <w:jc w:val="left"/>
            </w:pPr>
            <w:r>
              <w:rPr>
                <w:rFonts w:ascii="宋体" w:hAnsi="宋体" w:eastAsia="宋体"/>
                <w:sz w:val="19"/>
              </w:rPr>
              <w:t>把教材、讲义、课件等真实资料转化为生成上下文，提高输出与课堂内容的贴合度。</w:t>
            </w:r>
          </w:p>
        </w:tc>
      </w:tr>
      <w:tr>
        <w:tc>
          <w:tcPr>
            <w:tcW w:type="dxa" w:w="1700"/>
            <w:vAlign w:val="center"/>
          </w:tcPr>
          <w:p>
            <w:pPr>
              <w:spacing w:after="0" w:line="269" w:lineRule="auto"/>
              <w:jc w:val="center"/>
            </w:pPr>
            <w:r>
              <w:rPr>
                <w:rFonts w:ascii="宋体" w:hAnsi="宋体" w:eastAsia="宋体"/>
                <w:sz w:val="19"/>
              </w:rPr>
              <w:t>智能服务</w:t>
            </w:r>
          </w:p>
        </w:tc>
        <w:tc>
          <w:tcPr>
            <w:tcW w:type="dxa" w:w="3100"/>
            <w:vAlign w:val="center"/>
          </w:tcPr>
          <w:p>
            <w:pPr>
              <w:spacing w:after="0" w:line="269" w:lineRule="auto"/>
              <w:jc w:val="left"/>
            </w:pPr>
            <w:r>
              <w:rPr>
                <w:rFonts w:ascii="宋体" w:hAnsi="宋体" w:eastAsia="宋体"/>
                <w:sz w:val="19"/>
              </w:rPr>
              <w:t>多 Agent 协同、WebSocket 进度反馈、TTS/ffmpeg 合成、多模态任务流水线</w:t>
            </w:r>
          </w:p>
        </w:tc>
        <w:tc>
          <w:tcPr>
            <w:tcW w:type="dxa" w:w="4560"/>
            <w:vAlign w:val="center"/>
          </w:tcPr>
          <w:p>
            <w:pPr>
              <w:spacing w:after="0" w:line="269" w:lineRule="auto"/>
              <w:jc w:val="left"/>
            </w:pPr>
            <w:r>
              <w:rPr>
                <w:rFonts w:ascii="宋体" w:hAnsi="宋体" w:eastAsia="宋体"/>
                <w:sz w:val="19"/>
              </w:rPr>
              <w:t>支持教案、笔记、播客、视频等复杂任务的分阶段生成和可追踪执行。</w:t>
            </w:r>
          </w:p>
        </w:tc>
      </w:tr>
    </w:tbl>
    <w:p>
      <w:pPr>
        <w:spacing w:before="40" w:after="160"/>
        <w:jc w:val="center"/>
      </w:pPr>
      <w:r>
        <w:rPr>
          <w:rFonts w:ascii="宋体" w:hAnsi="宋体" w:eastAsia="宋体"/>
          <w:color w:val="595959"/>
          <w:sz w:val="18"/>
        </w:rPr>
        <w:t>表 1-1 LinkEdu 主要功能概览</w:t>
      </w:r>
    </w:p>
    <w:p>
      <w:pPr>
        <w:spacing w:after="120" w:line="300" w:lineRule="auto"/>
        <w:ind w:firstLine="420"/>
      </w:pPr>
      <w:r>
        <w:rPr>
          <w:rFonts w:ascii="宋体" w:hAnsi="宋体" w:eastAsia="宋体"/>
          <w:sz w:val="21"/>
        </w:rPr>
        <w:t>产品特色主要体现在四点：第一，资料驱动，围绕真实教材和讲义生成内容，减少通用模型脱离课堂的问题；第二，双端协同，教师和学生拥有不同任务入口、提示策略和历史记录；第三，全流程覆盖，从资料输入、内容生成到结果沉淀和复盘均有对应模块；第四，轻量部署，当前版本采用 SQLite、JSON 和本地文件系统，不依赖复杂中间件，便于课程展示、校内试点和后续 Docker 化部署。</w:t>
      </w:r>
    </w:p>
    <w:p>
      <w:pPr>
        <w:pStyle w:val="Heading2"/>
      </w:pPr>
      <w:r>
        <w:rPr>
          <w:rFonts w:ascii="黑体" w:hAnsi="黑体" w:eastAsia="黑体"/>
          <w:b/>
          <w:color w:val="2E74B5"/>
          <w:sz w:val="28"/>
        </w:rPr>
        <w:t>1.4 产品范围</w:t>
      </w:r>
    </w:p>
    <w:p>
      <w:pPr>
        <w:spacing w:after="120" w:line="300" w:lineRule="auto"/>
        <w:ind w:firstLine="420"/>
      </w:pPr>
      <w:r>
        <w:rPr>
          <w:rFonts w:ascii="宋体" w:hAnsi="宋体" w:eastAsia="宋体"/>
          <w:sz w:val="21"/>
        </w:rPr>
        <w:t>LinkEdu 适用于中小学、职业院校和教研团队中的教学辅助场景，尤其适合需要围绕校本资料进行备课、练习生成、学习笔记和错题复盘的场景。产品当前更适合定位为“教师和学生的 AI 辅助工具”，而不是替代教师教学判断或替代学校教务系统的完整平台。</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700"/>
        <w:gridCol w:w="3830"/>
        <w:gridCol w:w="3830"/>
      </w:tblGrid>
      <w:tr>
        <w:tc>
          <w:tcPr>
            <w:tcW w:type="dxa" w:w="1700"/>
            <w:shd w:fill="E8EEF5"/>
            <w:vAlign w:val="center"/>
          </w:tcPr>
          <w:p>
            <w:pPr>
              <w:spacing w:after="0" w:line="269" w:lineRule="auto"/>
              <w:jc w:val="center"/>
            </w:pPr>
            <w:r>
              <w:rPr>
                <w:rFonts w:ascii="宋体" w:hAnsi="宋体" w:eastAsia="宋体"/>
                <w:b/>
                <w:sz w:val="19"/>
              </w:rPr>
              <w:t>范围类型</w:t>
            </w:r>
          </w:p>
        </w:tc>
        <w:tc>
          <w:tcPr>
            <w:tcW w:type="dxa" w:w="3830"/>
            <w:shd w:fill="E8EEF5"/>
            <w:vAlign w:val="center"/>
          </w:tcPr>
          <w:p>
            <w:pPr>
              <w:spacing w:after="0" w:line="269" w:lineRule="auto"/>
              <w:jc w:val="center"/>
            </w:pPr>
            <w:r>
              <w:rPr>
                <w:rFonts w:ascii="宋体" w:hAnsi="宋体" w:eastAsia="宋体"/>
                <w:b/>
                <w:sz w:val="19"/>
              </w:rPr>
              <w:t>包含内容</w:t>
            </w:r>
          </w:p>
        </w:tc>
        <w:tc>
          <w:tcPr>
            <w:tcW w:type="dxa" w:w="3830"/>
            <w:shd w:fill="E8EEF5"/>
            <w:vAlign w:val="center"/>
          </w:tcPr>
          <w:p>
            <w:pPr>
              <w:spacing w:after="0" w:line="269" w:lineRule="auto"/>
              <w:jc w:val="center"/>
            </w:pPr>
            <w:r>
              <w:rPr>
                <w:rFonts w:ascii="宋体" w:hAnsi="宋体" w:eastAsia="宋体"/>
                <w:b/>
                <w:sz w:val="19"/>
              </w:rPr>
              <w:t>暂不包含内容</w:t>
            </w:r>
          </w:p>
        </w:tc>
      </w:tr>
      <w:tr>
        <w:tc>
          <w:tcPr>
            <w:tcW w:type="dxa" w:w="1700"/>
            <w:vAlign w:val="center"/>
          </w:tcPr>
          <w:p>
            <w:pPr>
              <w:spacing w:after="0" w:line="269" w:lineRule="auto"/>
              <w:jc w:val="center"/>
            </w:pPr>
            <w:r>
              <w:rPr>
                <w:rFonts w:ascii="宋体" w:hAnsi="宋体" w:eastAsia="宋体"/>
                <w:sz w:val="19"/>
              </w:rPr>
              <w:t>用户范围</w:t>
            </w:r>
          </w:p>
        </w:tc>
        <w:tc>
          <w:tcPr>
            <w:tcW w:type="dxa" w:w="3830"/>
            <w:vAlign w:val="center"/>
          </w:tcPr>
          <w:p>
            <w:pPr>
              <w:spacing w:after="0" w:line="269" w:lineRule="auto"/>
              <w:jc w:val="left"/>
            </w:pPr>
            <w:r>
              <w:rPr>
                <w:rFonts w:ascii="宋体" w:hAnsi="宋体" w:eastAsia="宋体"/>
                <w:sz w:val="19"/>
              </w:rPr>
              <w:t>教师、学生、教研团队、课程设计展示用户</w:t>
            </w:r>
          </w:p>
        </w:tc>
        <w:tc>
          <w:tcPr>
            <w:tcW w:type="dxa" w:w="3830"/>
            <w:vAlign w:val="center"/>
          </w:tcPr>
          <w:p>
            <w:pPr>
              <w:spacing w:after="0" w:line="269" w:lineRule="auto"/>
              <w:jc w:val="left"/>
            </w:pPr>
            <w:r>
              <w:rPr>
                <w:rFonts w:ascii="宋体" w:hAnsi="宋体" w:eastAsia="宋体"/>
                <w:sz w:val="19"/>
              </w:rPr>
              <w:t>大规模区域教育管理部门、家校缴费与行政审批用户</w:t>
            </w:r>
          </w:p>
        </w:tc>
      </w:tr>
      <w:tr>
        <w:tc>
          <w:tcPr>
            <w:tcW w:type="dxa" w:w="1700"/>
            <w:vAlign w:val="center"/>
          </w:tcPr>
          <w:p>
            <w:pPr>
              <w:spacing w:after="0" w:line="269" w:lineRule="auto"/>
              <w:jc w:val="center"/>
            </w:pPr>
            <w:r>
              <w:rPr>
                <w:rFonts w:ascii="宋体" w:hAnsi="宋体" w:eastAsia="宋体"/>
                <w:sz w:val="19"/>
              </w:rPr>
              <w:t>业务范围</w:t>
            </w:r>
          </w:p>
        </w:tc>
        <w:tc>
          <w:tcPr>
            <w:tcW w:type="dxa" w:w="3830"/>
            <w:vAlign w:val="center"/>
          </w:tcPr>
          <w:p>
            <w:pPr>
              <w:spacing w:after="0" w:line="269" w:lineRule="auto"/>
              <w:jc w:val="left"/>
            </w:pPr>
            <w:r>
              <w:rPr>
                <w:rFonts w:ascii="宋体" w:hAnsi="宋体" w:eastAsia="宋体"/>
                <w:sz w:val="19"/>
              </w:rPr>
              <w:t>备课、授课资源生成、学习资料整理、错题诊断、学习/教学记录沉淀</w:t>
            </w:r>
          </w:p>
        </w:tc>
        <w:tc>
          <w:tcPr>
            <w:tcW w:type="dxa" w:w="3830"/>
            <w:vAlign w:val="center"/>
          </w:tcPr>
          <w:p>
            <w:pPr>
              <w:spacing w:after="0" w:line="269" w:lineRule="auto"/>
              <w:jc w:val="left"/>
            </w:pPr>
            <w:r>
              <w:rPr>
                <w:rFonts w:ascii="宋体" w:hAnsi="宋体" w:eastAsia="宋体"/>
                <w:sz w:val="19"/>
              </w:rPr>
              <w:t>排课、成绩归档、招生管理、人事财务等校务管理</w:t>
            </w:r>
          </w:p>
        </w:tc>
      </w:tr>
      <w:tr>
        <w:tc>
          <w:tcPr>
            <w:tcW w:type="dxa" w:w="1700"/>
            <w:vAlign w:val="center"/>
          </w:tcPr>
          <w:p>
            <w:pPr>
              <w:spacing w:after="0" w:line="269" w:lineRule="auto"/>
              <w:jc w:val="center"/>
            </w:pPr>
            <w:r>
              <w:rPr>
                <w:rFonts w:ascii="宋体" w:hAnsi="宋体" w:eastAsia="宋体"/>
                <w:sz w:val="19"/>
              </w:rPr>
              <w:t>技术范围</w:t>
            </w:r>
          </w:p>
        </w:tc>
        <w:tc>
          <w:tcPr>
            <w:tcW w:type="dxa" w:w="3830"/>
            <w:vAlign w:val="center"/>
          </w:tcPr>
          <w:p>
            <w:pPr>
              <w:spacing w:after="0" w:line="269" w:lineRule="auto"/>
              <w:jc w:val="left"/>
            </w:pPr>
            <w:r>
              <w:rPr>
                <w:rFonts w:ascii="宋体" w:hAnsi="宋体" w:eastAsia="宋体"/>
                <w:sz w:val="19"/>
              </w:rPr>
              <w:t>文本生成、资料增强、多模态内容生成、轻量化本地部署</w:t>
            </w:r>
          </w:p>
        </w:tc>
        <w:tc>
          <w:tcPr>
            <w:tcW w:type="dxa" w:w="3830"/>
            <w:vAlign w:val="center"/>
          </w:tcPr>
          <w:p>
            <w:pPr>
              <w:spacing w:after="0" w:line="269" w:lineRule="auto"/>
              <w:jc w:val="left"/>
            </w:pPr>
            <w:r>
              <w:rPr>
                <w:rFonts w:ascii="宋体" w:hAnsi="宋体" w:eastAsia="宋体"/>
                <w:sz w:val="19"/>
              </w:rPr>
              <w:t>大规模分布式训练、自研基础大模型、强一致企业级数据仓库</w:t>
            </w:r>
          </w:p>
        </w:tc>
      </w:tr>
      <w:tr>
        <w:tc>
          <w:tcPr>
            <w:tcW w:type="dxa" w:w="1700"/>
            <w:vAlign w:val="center"/>
          </w:tcPr>
          <w:p>
            <w:pPr>
              <w:spacing w:after="0" w:line="269" w:lineRule="auto"/>
              <w:jc w:val="center"/>
            </w:pPr>
            <w:r>
              <w:rPr>
                <w:rFonts w:ascii="宋体" w:hAnsi="宋体" w:eastAsia="宋体"/>
                <w:sz w:val="19"/>
              </w:rPr>
              <w:t>合规边界</w:t>
            </w:r>
          </w:p>
        </w:tc>
        <w:tc>
          <w:tcPr>
            <w:tcW w:type="dxa" w:w="3830"/>
            <w:vAlign w:val="center"/>
          </w:tcPr>
          <w:p>
            <w:pPr>
              <w:spacing w:after="0" w:line="269" w:lineRule="auto"/>
              <w:jc w:val="left"/>
            </w:pPr>
            <w:r>
              <w:rPr>
                <w:rFonts w:ascii="宋体" w:hAnsi="宋体" w:eastAsia="宋体"/>
                <w:sz w:val="19"/>
              </w:rPr>
              <w:t>本地资料管理、账户隔离、生成内容辅助审核</w:t>
            </w:r>
          </w:p>
        </w:tc>
        <w:tc>
          <w:tcPr>
            <w:tcW w:type="dxa" w:w="3830"/>
            <w:vAlign w:val="center"/>
          </w:tcPr>
          <w:p>
            <w:pPr>
              <w:spacing w:after="0" w:line="269" w:lineRule="auto"/>
              <w:jc w:val="left"/>
            </w:pPr>
            <w:r>
              <w:rPr>
                <w:rFonts w:ascii="宋体" w:hAnsi="宋体" w:eastAsia="宋体"/>
                <w:sz w:val="19"/>
              </w:rPr>
              <w:t>未经授权采集学生敏感数据、自动替代教师评价和处分决策</w:t>
            </w:r>
          </w:p>
        </w:tc>
      </w:tr>
    </w:tbl>
    <w:p>
      <w:pPr>
        <w:spacing w:before="40" w:after="160"/>
        <w:jc w:val="center"/>
      </w:pPr>
      <w:r>
        <w:rPr>
          <w:rFonts w:ascii="宋体" w:hAnsi="宋体" w:eastAsia="宋体"/>
          <w:color w:val="595959"/>
          <w:sz w:val="18"/>
        </w:rPr>
        <w:t>表 1-2 产品适用范围与边界</w:t>
      </w:r>
    </w:p>
    <w:p>
      <w:pPr>
        <w:pStyle w:val="Heading1"/>
        <w:jc w:val="center"/>
      </w:pPr>
      <w:r>
        <w:rPr>
          <w:rFonts w:ascii="黑体" w:hAnsi="黑体" w:eastAsia="黑体"/>
          <w:b/>
          <w:color w:val="2E74B5"/>
          <w:sz w:val="32"/>
        </w:rPr>
        <w:t>2 市场概述和分析</w:t>
      </w:r>
    </w:p>
    <w:p>
      <w:pPr>
        <w:pStyle w:val="Heading2"/>
      </w:pPr>
      <w:r>
        <w:rPr>
          <w:rFonts w:ascii="黑体" w:hAnsi="黑体" w:eastAsia="黑体"/>
          <w:b/>
          <w:color w:val="2E74B5"/>
          <w:sz w:val="28"/>
        </w:rPr>
        <w:t>2.1 客户需求描述</w:t>
      </w:r>
    </w:p>
    <w:p>
      <w:pPr>
        <w:spacing w:after="120" w:line="300" w:lineRule="auto"/>
        <w:ind w:firstLine="420"/>
      </w:pPr>
      <w:r>
        <w:rPr>
          <w:rFonts w:ascii="宋体" w:hAnsi="宋体" w:eastAsia="宋体"/>
          <w:sz w:val="21"/>
        </w:rPr>
        <w:t>LinkEdu 面向的核心客户并不是抽象的“所有教育用户”，而是具有明确任务压力的教师、学生和基层学校。教师的需求集中在备课效率、资源组织、课堂材料多样化和教学复盘；学生的需求集中在资料理解、错题归因、复习节奏和多样化学习媒介；学校管理者则更关注部署成本、数据安全、系统稳定性和是否能形成可展示的数字化教学成果。</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700"/>
        <w:gridCol w:w="3600"/>
        <w:gridCol w:w="4060"/>
      </w:tblGrid>
      <w:tr>
        <w:tc>
          <w:tcPr>
            <w:tcW w:type="dxa" w:w="1700"/>
            <w:shd w:fill="E8EEF5"/>
            <w:vAlign w:val="center"/>
          </w:tcPr>
          <w:p>
            <w:pPr>
              <w:spacing w:after="0" w:line="269" w:lineRule="auto"/>
              <w:jc w:val="center"/>
            </w:pPr>
            <w:r>
              <w:rPr>
                <w:rFonts w:ascii="宋体" w:hAnsi="宋体" w:eastAsia="宋体"/>
                <w:b/>
                <w:sz w:val="19"/>
              </w:rPr>
              <w:t>客户群体</w:t>
            </w:r>
          </w:p>
        </w:tc>
        <w:tc>
          <w:tcPr>
            <w:tcW w:type="dxa" w:w="3600"/>
            <w:shd w:fill="E8EEF5"/>
            <w:vAlign w:val="center"/>
          </w:tcPr>
          <w:p>
            <w:pPr>
              <w:spacing w:after="0" w:line="269" w:lineRule="auto"/>
              <w:jc w:val="center"/>
            </w:pPr>
            <w:r>
              <w:rPr>
                <w:rFonts w:ascii="宋体" w:hAnsi="宋体" w:eastAsia="宋体"/>
                <w:b/>
                <w:sz w:val="19"/>
              </w:rPr>
              <w:t>主要痛点</w:t>
            </w:r>
          </w:p>
        </w:tc>
        <w:tc>
          <w:tcPr>
            <w:tcW w:type="dxa" w:w="4060"/>
            <w:shd w:fill="E8EEF5"/>
            <w:vAlign w:val="center"/>
          </w:tcPr>
          <w:p>
            <w:pPr>
              <w:spacing w:after="0" w:line="269" w:lineRule="auto"/>
              <w:jc w:val="center"/>
            </w:pPr>
            <w:r>
              <w:rPr>
                <w:rFonts w:ascii="宋体" w:hAnsi="宋体" w:eastAsia="宋体"/>
                <w:b/>
                <w:sz w:val="19"/>
              </w:rPr>
              <w:t>LinkEdu 对应能力</w:t>
            </w:r>
          </w:p>
        </w:tc>
      </w:tr>
      <w:tr>
        <w:tc>
          <w:tcPr>
            <w:tcW w:type="dxa" w:w="1700"/>
            <w:vAlign w:val="center"/>
          </w:tcPr>
          <w:p>
            <w:pPr>
              <w:spacing w:after="0" w:line="269" w:lineRule="auto"/>
              <w:jc w:val="center"/>
            </w:pPr>
            <w:r>
              <w:rPr>
                <w:rFonts w:ascii="宋体" w:hAnsi="宋体" w:eastAsia="宋体"/>
                <w:sz w:val="19"/>
              </w:rPr>
              <w:t>教师</w:t>
            </w:r>
          </w:p>
        </w:tc>
        <w:tc>
          <w:tcPr>
            <w:tcW w:type="dxa" w:w="3600"/>
            <w:vAlign w:val="center"/>
          </w:tcPr>
          <w:p>
            <w:pPr>
              <w:spacing w:after="0" w:line="269" w:lineRule="auto"/>
              <w:jc w:val="left"/>
            </w:pPr>
            <w:r>
              <w:rPr>
                <w:rFonts w:ascii="宋体" w:hAnsi="宋体" w:eastAsia="宋体"/>
                <w:sz w:val="19"/>
              </w:rPr>
              <w:t>备课资料分散、教案和测验制作耗时、课堂资源形式单一</w:t>
            </w:r>
          </w:p>
        </w:tc>
        <w:tc>
          <w:tcPr>
            <w:tcW w:type="dxa" w:w="4060"/>
            <w:vAlign w:val="center"/>
          </w:tcPr>
          <w:p>
            <w:pPr>
              <w:spacing w:after="0" w:line="269" w:lineRule="auto"/>
              <w:jc w:val="left"/>
            </w:pPr>
            <w:r>
              <w:rPr>
                <w:rFonts w:ascii="宋体" w:hAnsi="宋体" w:eastAsia="宋体"/>
                <w:sz w:val="19"/>
              </w:rPr>
              <w:t>资料增强教案生成、测验/试卷生成、教学幻灯片、教学视频、教学记录汇</w:t>
            </w:r>
          </w:p>
        </w:tc>
      </w:tr>
      <w:tr>
        <w:tc>
          <w:tcPr>
            <w:tcW w:type="dxa" w:w="1700"/>
            <w:vAlign w:val="center"/>
          </w:tcPr>
          <w:p>
            <w:pPr>
              <w:spacing w:after="0" w:line="269" w:lineRule="auto"/>
              <w:jc w:val="center"/>
            </w:pPr>
            <w:r>
              <w:rPr>
                <w:rFonts w:ascii="宋体" w:hAnsi="宋体" w:eastAsia="宋体"/>
                <w:sz w:val="19"/>
              </w:rPr>
              <w:t>学生</w:t>
            </w:r>
          </w:p>
        </w:tc>
        <w:tc>
          <w:tcPr>
            <w:tcW w:type="dxa" w:w="3600"/>
            <w:vAlign w:val="center"/>
          </w:tcPr>
          <w:p>
            <w:pPr>
              <w:spacing w:after="0" w:line="269" w:lineRule="auto"/>
              <w:jc w:val="left"/>
            </w:pPr>
            <w:r>
              <w:rPr>
                <w:rFonts w:ascii="宋体" w:hAnsi="宋体" w:eastAsia="宋体"/>
                <w:sz w:val="19"/>
              </w:rPr>
              <w:t>笔记整理困难、错题原因不清、复习缺少连续记录、学习形式单一</w:t>
            </w:r>
          </w:p>
        </w:tc>
        <w:tc>
          <w:tcPr>
            <w:tcW w:type="dxa" w:w="4060"/>
            <w:vAlign w:val="center"/>
          </w:tcPr>
          <w:p>
            <w:pPr>
              <w:spacing w:after="0" w:line="269" w:lineRule="auto"/>
              <w:jc w:val="left"/>
            </w:pPr>
            <w:r>
              <w:rPr>
                <w:rFonts w:ascii="宋体" w:hAnsi="宋体" w:eastAsia="宋体"/>
                <w:sz w:val="19"/>
              </w:rPr>
              <w:t>智能笔记、知识卡片、AI播客、错题本、英语口语、学习记录汇</w:t>
            </w:r>
          </w:p>
        </w:tc>
      </w:tr>
      <w:tr>
        <w:tc>
          <w:tcPr>
            <w:tcW w:type="dxa" w:w="1700"/>
            <w:vAlign w:val="center"/>
          </w:tcPr>
          <w:p>
            <w:pPr>
              <w:spacing w:after="0" w:line="269" w:lineRule="auto"/>
              <w:jc w:val="center"/>
            </w:pPr>
            <w:r>
              <w:rPr>
                <w:rFonts w:ascii="宋体" w:hAnsi="宋体" w:eastAsia="宋体"/>
                <w:sz w:val="19"/>
              </w:rPr>
              <w:t>基层学校</w:t>
            </w:r>
          </w:p>
        </w:tc>
        <w:tc>
          <w:tcPr>
            <w:tcW w:type="dxa" w:w="3600"/>
            <w:vAlign w:val="center"/>
          </w:tcPr>
          <w:p>
            <w:pPr>
              <w:spacing w:after="0" w:line="269" w:lineRule="auto"/>
              <w:jc w:val="left"/>
            </w:pPr>
            <w:r>
              <w:rPr>
                <w:rFonts w:ascii="宋体" w:hAnsi="宋体" w:eastAsia="宋体"/>
                <w:sz w:val="19"/>
              </w:rPr>
              <w:t>优质资源获取不足、部署预算有限、教师培训和维护成本敏感</w:t>
            </w:r>
          </w:p>
        </w:tc>
        <w:tc>
          <w:tcPr>
            <w:tcW w:type="dxa" w:w="4060"/>
            <w:vAlign w:val="center"/>
          </w:tcPr>
          <w:p>
            <w:pPr>
              <w:spacing w:after="0" w:line="269" w:lineRule="auto"/>
              <w:jc w:val="left"/>
            </w:pPr>
            <w:r>
              <w:rPr>
                <w:rFonts w:ascii="宋体" w:hAnsi="宋体" w:eastAsia="宋体"/>
                <w:sz w:val="19"/>
              </w:rPr>
              <w:t>SQLite/JSON/本地文件轻量部署、双角色工作台、可公网展示和本地运行</w:t>
            </w:r>
          </w:p>
        </w:tc>
      </w:tr>
      <w:tr>
        <w:tc>
          <w:tcPr>
            <w:tcW w:type="dxa" w:w="1700"/>
            <w:vAlign w:val="center"/>
          </w:tcPr>
          <w:p>
            <w:pPr>
              <w:spacing w:after="0" w:line="269" w:lineRule="auto"/>
              <w:jc w:val="center"/>
            </w:pPr>
            <w:r>
              <w:rPr>
                <w:rFonts w:ascii="宋体" w:hAnsi="宋体" w:eastAsia="宋体"/>
                <w:sz w:val="19"/>
              </w:rPr>
              <w:t>教研团队</w:t>
            </w:r>
          </w:p>
        </w:tc>
        <w:tc>
          <w:tcPr>
            <w:tcW w:type="dxa" w:w="3600"/>
            <w:vAlign w:val="center"/>
          </w:tcPr>
          <w:p>
            <w:pPr>
              <w:spacing w:after="0" w:line="269" w:lineRule="auto"/>
              <w:jc w:val="left"/>
            </w:pPr>
            <w:r>
              <w:rPr>
                <w:rFonts w:ascii="宋体" w:hAnsi="宋体" w:eastAsia="宋体"/>
                <w:sz w:val="19"/>
              </w:rPr>
              <w:t>需要沉淀资料、复盘教学过程、对比不同资源生成效果</w:t>
            </w:r>
          </w:p>
        </w:tc>
        <w:tc>
          <w:tcPr>
            <w:tcW w:type="dxa" w:w="4060"/>
            <w:vAlign w:val="center"/>
          </w:tcPr>
          <w:p>
            <w:pPr>
              <w:spacing w:after="0" w:line="269" w:lineRule="auto"/>
              <w:jc w:val="left"/>
            </w:pPr>
            <w:r>
              <w:rPr>
                <w:rFonts w:ascii="宋体" w:hAnsi="宋体" w:eastAsia="宋体"/>
                <w:sz w:val="19"/>
              </w:rPr>
              <w:t>文件库、历史记录、任务结果持久化、资料一致性评测</w:t>
            </w:r>
          </w:p>
        </w:tc>
      </w:tr>
    </w:tbl>
    <w:p>
      <w:pPr>
        <w:spacing w:before="40" w:after="160"/>
        <w:jc w:val="center"/>
      </w:pPr>
      <w:r>
        <w:rPr>
          <w:rFonts w:ascii="宋体" w:hAnsi="宋体" w:eastAsia="宋体"/>
          <w:color w:val="595959"/>
          <w:sz w:val="18"/>
        </w:rPr>
        <w:t>表 2-1 客户需求与产品能力匹配</w:t>
      </w:r>
    </w:p>
    <w:p>
      <w:pPr>
        <w:spacing w:after="120" w:line="300" w:lineRule="auto"/>
        <w:ind w:firstLine="420"/>
      </w:pPr>
      <w:r>
        <w:rPr>
          <w:rFonts w:ascii="宋体" w:hAnsi="宋体" w:eastAsia="宋体"/>
          <w:sz w:val="21"/>
        </w:rPr>
        <w:t>教育 AI 产品的需求具有明显的“任务导向”特征。用户并不只是需要一个会回答问题的模型，而是需要模型能够理解指定教材、生成符合教学结构的内容，并把结果保存下来用于后续修改、下载或复盘。LinkEdu 在产品设计上把“资料选择 + 参数输入 + 生成控制 + 结果展示 + 历史回看”作为主要交互模式，符合教师和学生反复使用的实际流程。</w:t>
      </w:r>
    </w:p>
    <w:p>
      <w:pPr>
        <w:pStyle w:val="Heading2"/>
      </w:pPr>
      <w:r>
        <w:rPr>
          <w:rFonts w:ascii="黑体" w:hAnsi="黑体" w:eastAsia="黑体"/>
          <w:b/>
          <w:color w:val="2E74B5"/>
          <w:sz w:val="28"/>
        </w:rPr>
        <w:t>2.2 市场规模与发展趋势分析</w:t>
      </w:r>
    </w:p>
    <w:p>
      <w:pPr>
        <w:spacing w:after="120" w:line="300" w:lineRule="auto"/>
        <w:ind w:firstLine="420"/>
      </w:pPr>
      <w:r>
        <w:rPr>
          <w:rFonts w:ascii="宋体" w:hAnsi="宋体" w:eastAsia="宋体"/>
          <w:sz w:val="21"/>
        </w:rPr>
        <w:t>教育数字化已经成为长期趋势。国家智慧教育公共服务平台等公共基础设施持续推动优质教育资源汇聚，说明教育资源的数字化、平台化和跨区域共享正在成为重要方向</w:t>
      </w:r>
      <w:r>
        <w:rPr>
          <w:rFonts w:ascii="宋体" w:hAnsi="宋体" w:eastAsia="宋体"/>
          <w:color w:val="1F4E79"/>
          <w:sz w:val="21"/>
        </w:rPr>
        <w:t>[6]</w:t>
      </w:r>
      <w:r>
        <w:rPr>
          <w:rFonts w:ascii="宋体" w:hAnsi="宋体" w:eastAsia="宋体"/>
          <w:sz w:val="21"/>
        </w:rPr>
        <w:t>。与此同时，生成式 AI 的快速发展正在改变内容生产方式。Stanford HAI 发布的 2025 AI Index 报告指出，AI 对社会、经济和治理的影响仍在加强，负责任 AI 实践、模型能力和治理议题均成为重要观察维度</w:t>
      </w:r>
      <w:r>
        <w:rPr>
          <w:rFonts w:ascii="宋体" w:hAnsi="宋体" w:eastAsia="宋体"/>
          <w:color w:val="1F4E79"/>
          <w:sz w:val="21"/>
        </w:rPr>
        <w:t>[3]</w:t>
      </w:r>
      <w:r>
        <w:rPr>
          <w:rFonts w:ascii="宋体" w:hAnsi="宋体" w:eastAsia="宋体"/>
          <w:sz w:val="21"/>
        </w:rPr>
        <w:t>。这为教育场景中的智能备课、学习辅导和数据分析提供了技术土壤。</w:t>
      </w:r>
    </w:p>
    <w:p>
      <w:pPr>
        <w:spacing w:after="120" w:line="300" w:lineRule="auto"/>
        <w:ind w:firstLine="420"/>
      </w:pPr>
      <w:r>
        <w:rPr>
          <w:rFonts w:ascii="宋体" w:hAnsi="宋体" w:eastAsia="宋体"/>
          <w:sz w:val="21"/>
        </w:rPr>
        <w:t>从产品机会看，教育 AI 市场正在从“单点工具”走向“场景闭环”。早期在线教育产品更强调题库、直播课或资源平台，近两年的生成式 AI 工具则强调问答、写作和内容生成。但在学校真实使用中，用户更关心工具是否能接入本校资料、是否能区分教师和学生身份、是否能持续保存结果、是否能对错题和学习轨迹形成反馈。LinkEdu 的定位正好位于“AI 内容生成 + 教学工作流 + 学习分析”的交叉区域。</w:t>
      </w:r>
    </w:p>
    <w:p>
      <w:pPr>
        <w:spacing w:after="120" w:line="300" w:lineRule="auto"/>
        <w:ind w:firstLine="420"/>
      </w:pPr>
      <w:r>
        <w:rPr>
          <w:rFonts w:ascii="宋体" w:hAnsi="宋体" w:eastAsia="宋体"/>
          <w:sz w:val="21"/>
        </w:rPr>
        <w:t>从发展趋势看，未来教育智能产品将呈现四个方向：一是资料增强成为标配，教育产品需要从“通用回答”转向“基于教材和校本资料回答”；二是多模态资源生产成为刚需，教案、讲义、课件、音频、视频将共同服务学习；三是学习分析从结果统计转向过程诊断，错题、复习和掌握趋势会成为个性化学习的重要入口；四是合规与安全会成为采购和试点门槛，尤其涉及未成年人、学习记录和生成内容时更需要审慎治理</w:t>
      </w:r>
      <w:r>
        <w:rPr>
          <w:rFonts w:ascii="宋体" w:hAnsi="宋体" w:eastAsia="宋体"/>
          <w:color w:val="1F4E79"/>
          <w:sz w:val="21"/>
        </w:rPr>
        <w:t>[1]</w:t>
      </w:r>
      <w:r>
        <w:rPr>
          <w:rFonts w:ascii="宋体" w:hAnsi="宋体" w:eastAsia="宋体"/>
          <w:sz w:val="21"/>
        </w:rPr>
      </w:r>
      <w:r>
        <w:rPr>
          <w:rFonts w:ascii="宋体" w:hAnsi="宋体" w:eastAsia="宋体"/>
          <w:color w:val="1F4E79"/>
          <w:sz w:val="21"/>
        </w:rPr>
        <w:t>[2]</w:t>
      </w:r>
      <w:r>
        <w:rPr>
          <w:rFonts w:ascii="宋体" w:hAnsi="宋体" w:eastAsia="宋体"/>
          <w:sz w:val="21"/>
        </w:rPr>
        <w:t>。</w:t>
      </w:r>
    </w:p>
    <w:p>
      <w:pPr>
        <w:pStyle w:val="Heading2"/>
      </w:pPr>
      <w:r>
        <w:rPr>
          <w:rFonts w:ascii="黑体" w:hAnsi="黑体" w:eastAsia="黑体"/>
          <w:b/>
          <w:color w:val="2E74B5"/>
          <w:sz w:val="28"/>
        </w:rPr>
        <w:t>2.3 竞品分析</w:t>
      </w:r>
    </w:p>
    <w:p>
      <w:pPr>
        <w:spacing w:after="120" w:line="300" w:lineRule="auto"/>
        <w:ind w:firstLine="420"/>
      </w:pPr>
      <w:r>
        <w:rPr>
          <w:rFonts w:ascii="宋体" w:hAnsi="宋体" w:eastAsia="宋体"/>
          <w:sz w:val="21"/>
        </w:rPr>
        <w:t>目前可与 LinkEdu 形成替代或竞争关系的产品大致分为四类：通用大模型问答工具、题库练习平台、课件/教案生成工具和综合智慧教育平台。通用大模型能力强、入口简单，但对校本资料、角色隔离和历史复盘支持不足；题库平台题目资源丰富，但生成式和资料增强能力有限；课件生成工具在单一成果上效率高，但难以覆盖学生学习闭环；综合智慧教育平台功能完善，但部署成本和定制成本相对较高。</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900"/>
        <w:gridCol w:w="2500"/>
        <w:gridCol w:w="2500"/>
        <w:gridCol w:w="2460"/>
      </w:tblGrid>
      <w:tr>
        <w:tc>
          <w:tcPr>
            <w:tcW w:type="dxa" w:w="1900"/>
            <w:shd w:fill="E8EEF5"/>
            <w:vAlign w:val="center"/>
          </w:tcPr>
          <w:p>
            <w:pPr>
              <w:spacing w:after="0" w:line="269" w:lineRule="auto"/>
              <w:jc w:val="center"/>
            </w:pPr>
            <w:r>
              <w:rPr>
                <w:rFonts w:ascii="宋体" w:hAnsi="宋体" w:eastAsia="宋体"/>
                <w:b/>
                <w:sz w:val="19"/>
              </w:rPr>
              <w:t>产品类型</w:t>
            </w:r>
          </w:p>
        </w:tc>
        <w:tc>
          <w:tcPr>
            <w:tcW w:type="dxa" w:w="2500"/>
            <w:shd w:fill="E8EEF5"/>
            <w:vAlign w:val="center"/>
          </w:tcPr>
          <w:p>
            <w:pPr>
              <w:spacing w:after="0" w:line="269" w:lineRule="auto"/>
              <w:jc w:val="center"/>
            </w:pPr>
            <w:r>
              <w:rPr>
                <w:rFonts w:ascii="宋体" w:hAnsi="宋体" w:eastAsia="宋体"/>
                <w:b/>
                <w:sz w:val="19"/>
              </w:rPr>
              <w:t>优势</w:t>
            </w:r>
          </w:p>
        </w:tc>
        <w:tc>
          <w:tcPr>
            <w:tcW w:type="dxa" w:w="2500"/>
            <w:shd w:fill="E8EEF5"/>
            <w:vAlign w:val="center"/>
          </w:tcPr>
          <w:p>
            <w:pPr>
              <w:spacing w:after="0" w:line="269" w:lineRule="auto"/>
              <w:jc w:val="center"/>
            </w:pPr>
            <w:r>
              <w:rPr>
                <w:rFonts w:ascii="宋体" w:hAnsi="宋体" w:eastAsia="宋体"/>
                <w:b/>
                <w:sz w:val="19"/>
              </w:rPr>
              <w:t>不足</w:t>
            </w:r>
          </w:p>
        </w:tc>
        <w:tc>
          <w:tcPr>
            <w:tcW w:type="dxa" w:w="2460"/>
            <w:shd w:fill="E8EEF5"/>
            <w:vAlign w:val="center"/>
          </w:tcPr>
          <w:p>
            <w:pPr>
              <w:spacing w:after="0" w:line="269" w:lineRule="auto"/>
              <w:jc w:val="center"/>
            </w:pPr>
            <w:r>
              <w:rPr>
                <w:rFonts w:ascii="宋体" w:hAnsi="宋体" w:eastAsia="宋体"/>
                <w:b/>
                <w:sz w:val="19"/>
              </w:rPr>
              <w:t>LinkEdu 差异化机会</w:t>
            </w:r>
          </w:p>
        </w:tc>
      </w:tr>
      <w:tr>
        <w:tc>
          <w:tcPr>
            <w:tcW w:type="dxa" w:w="1900"/>
            <w:vAlign w:val="center"/>
          </w:tcPr>
          <w:p>
            <w:pPr>
              <w:spacing w:after="0" w:line="269" w:lineRule="auto"/>
              <w:jc w:val="center"/>
            </w:pPr>
            <w:r>
              <w:rPr>
                <w:rFonts w:ascii="宋体" w:hAnsi="宋体" w:eastAsia="宋体"/>
                <w:sz w:val="19"/>
              </w:rPr>
              <w:t>通用大模型问答工具</w:t>
            </w:r>
          </w:p>
        </w:tc>
        <w:tc>
          <w:tcPr>
            <w:tcW w:type="dxa" w:w="2500"/>
            <w:vAlign w:val="center"/>
          </w:tcPr>
          <w:p>
            <w:pPr>
              <w:spacing w:after="0" w:line="269" w:lineRule="auto"/>
              <w:jc w:val="left"/>
            </w:pPr>
            <w:r>
              <w:rPr>
                <w:rFonts w:ascii="宋体" w:hAnsi="宋体" w:eastAsia="宋体"/>
                <w:sz w:val="19"/>
              </w:rPr>
              <w:t>模型能力强、使用门槛低、知识覆盖广</w:t>
            </w:r>
          </w:p>
        </w:tc>
        <w:tc>
          <w:tcPr>
            <w:tcW w:type="dxa" w:w="2500"/>
            <w:vAlign w:val="center"/>
          </w:tcPr>
          <w:p>
            <w:pPr>
              <w:spacing w:after="0" w:line="269" w:lineRule="auto"/>
              <w:jc w:val="left"/>
            </w:pPr>
            <w:r>
              <w:rPr>
                <w:rFonts w:ascii="宋体" w:hAnsi="宋体" w:eastAsia="宋体"/>
                <w:sz w:val="19"/>
              </w:rPr>
              <w:t>容易脱离教材，缺少教师/学生流程，结果沉淀弱</w:t>
            </w:r>
          </w:p>
        </w:tc>
        <w:tc>
          <w:tcPr>
            <w:tcW w:type="dxa" w:w="2460"/>
            <w:vAlign w:val="center"/>
          </w:tcPr>
          <w:p>
            <w:pPr>
              <w:spacing w:after="0" w:line="269" w:lineRule="auto"/>
              <w:jc w:val="left"/>
            </w:pPr>
            <w:r>
              <w:rPr>
                <w:rFonts w:ascii="宋体" w:hAnsi="宋体" w:eastAsia="宋体"/>
                <w:sz w:val="19"/>
              </w:rPr>
              <w:t>以校本资料增强和角色自适应提示提升课堂贴合度</w:t>
            </w:r>
          </w:p>
        </w:tc>
      </w:tr>
      <w:tr>
        <w:tc>
          <w:tcPr>
            <w:tcW w:type="dxa" w:w="1900"/>
            <w:vAlign w:val="center"/>
          </w:tcPr>
          <w:p>
            <w:pPr>
              <w:spacing w:after="0" w:line="269" w:lineRule="auto"/>
              <w:jc w:val="center"/>
            </w:pPr>
            <w:r>
              <w:rPr>
                <w:rFonts w:ascii="宋体" w:hAnsi="宋体" w:eastAsia="宋体"/>
                <w:sz w:val="19"/>
              </w:rPr>
              <w:t>题库练习平台</w:t>
            </w:r>
          </w:p>
        </w:tc>
        <w:tc>
          <w:tcPr>
            <w:tcW w:type="dxa" w:w="2500"/>
            <w:vAlign w:val="center"/>
          </w:tcPr>
          <w:p>
            <w:pPr>
              <w:spacing w:after="0" w:line="269" w:lineRule="auto"/>
              <w:jc w:val="left"/>
            </w:pPr>
            <w:r>
              <w:rPr>
                <w:rFonts w:ascii="宋体" w:hAnsi="宋体" w:eastAsia="宋体"/>
                <w:sz w:val="19"/>
              </w:rPr>
              <w:t>题量丰富，适合刷题和成绩统计</w:t>
            </w:r>
          </w:p>
        </w:tc>
        <w:tc>
          <w:tcPr>
            <w:tcW w:type="dxa" w:w="2500"/>
            <w:vAlign w:val="center"/>
          </w:tcPr>
          <w:p>
            <w:pPr>
              <w:spacing w:after="0" w:line="269" w:lineRule="auto"/>
              <w:jc w:val="left"/>
            </w:pPr>
            <w:r>
              <w:rPr>
                <w:rFonts w:ascii="宋体" w:hAnsi="宋体" w:eastAsia="宋体"/>
                <w:sz w:val="19"/>
              </w:rPr>
              <w:t>内容生成能力弱，难以支持教师备课和多模态资源</w:t>
            </w:r>
          </w:p>
        </w:tc>
        <w:tc>
          <w:tcPr>
            <w:tcW w:type="dxa" w:w="2460"/>
            <w:vAlign w:val="center"/>
          </w:tcPr>
          <w:p>
            <w:pPr>
              <w:spacing w:after="0" w:line="269" w:lineRule="auto"/>
              <w:jc w:val="left"/>
            </w:pPr>
            <w:r>
              <w:rPr>
                <w:rFonts w:ascii="宋体" w:hAnsi="宋体" w:eastAsia="宋体"/>
                <w:sz w:val="19"/>
              </w:rPr>
              <w:t>把测验、错题、掌握趋势与资料生成结合</w:t>
            </w:r>
          </w:p>
        </w:tc>
      </w:tr>
      <w:tr>
        <w:tc>
          <w:tcPr>
            <w:tcW w:type="dxa" w:w="1900"/>
            <w:vAlign w:val="center"/>
          </w:tcPr>
          <w:p>
            <w:pPr>
              <w:spacing w:after="0" w:line="269" w:lineRule="auto"/>
              <w:jc w:val="center"/>
            </w:pPr>
            <w:r>
              <w:rPr>
                <w:rFonts w:ascii="宋体" w:hAnsi="宋体" w:eastAsia="宋体"/>
                <w:sz w:val="19"/>
              </w:rPr>
              <w:t>课件/教案生成工具</w:t>
            </w:r>
          </w:p>
        </w:tc>
        <w:tc>
          <w:tcPr>
            <w:tcW w:type="dxa" w:w="2500"/>
            <w:vAlign w:val="center"/>
          </w:tcPr>
          <w:p>
            <w:pPr>
              <w:spacing w:after="0" w:line="269" w:lineRule="auto"/>
              <w:jc w:val="left"/>
            </w:pPr>
            <w:r>
              <w:rPr>
                <w:rFonts w:ascii="宋体" w:hAnsi="宋体" w:eastAsia="宋体"/>
                <w:sz w:val="19"/>
              </w:rPr>
              <w:t>单项成果生成速度快，适合临时备课</w:t>
            </w:r>
          </w:p>
        </w:tc>
        <w:tc>
          <w:tcPr>
            <w:tcW w:type="dxa" w:w="2500"/>
            <w:vAlign w:val="center"/>
          </w:tcPr>
          <w:p>
            <w:pPr>
              <w:spacing w:after="0" w:line="269" w:lineRule="auto"/>
              <w:jc w:val="left"/>
            </w:pPr>
            <w:r>
              <w:rPr>
                <w:rFonts w:ascii="宋体" w:hAnsi="宋体" w:eastAsia="宋体"/>
                <w:sz w:val="19"/>
              </w:rPr>
              <w:t>功能割裂，难以形成学习端闭环</w:t>
            </w:r>
          </w:p>
        </w:tc>
        <w:tc>
          <w:tcPr>
            <w:tcW w:type="dxa" w:w="2460"/>
            <w:vAlign w:val="center"/>
          </w:tcPr>
          <w:p>
            <w:pPr>
              <w:spacing w:after="0" w:line="269" w:lineRule="auto"/>
              <w:jc w:val="left"/>
            </w:pPr>
            <w:r>
              <w:rPr>
                <w:rFonts w:ascii="宋体" w:hAnsi="宋体" w:eastAsia="宋体"/>
                <w:sz w:val="19"/>
              </w:rPr>
              <w:t>同时覆盖教案、测验、笔记、播客、视频和记录汇</w:t>
            </w:r>
          </w:p>
        </w:tc>
      </w:tr>
      <w:tr>
        <w:tc>
          <w:tcPr>
            <w:tcW w:type="dxa" w:w="1900"/>
            <w:vAlign w:val="center"/>
          </w:tcPr>
          <w:p>
            <w:pPr>
              <w:spacing w:after="0" w:line="269" w:lineRule="auto"/>
              <w:jc w:val="center"/>
            </w:pPr>
            <w:r>
              <w:rPr>
                <w:rFonts w:ascii="宋体" w:hAnsi="宋体" w:eastAsia="宋体"/>
                <w:sz w:val="19"/>
              </w:rPr>
              <w:t>综合智慧教育平台</w:t>
            </w:r>
          </w:p>
        </w:tc>
        <w:tc>
          <w:tcPr>
            <w:tcW w:type="dxa" w:w="2500"/>
            <w:vAlign w:val="center"/>
          </w:tcPr>
          <w:p>
            <w:pPr>
              <w:spacing w:after="0" w:line="269" w:lineRule="auto"/>
              <w:jc w:val="left"/>
            </w:pPr>
            <w:r>
              <w:rPr>
                <w:rFonts w:ascii="宋体" w:hAnsi="宋体" w:eastAsia="宋体"/>
                <w:sz w:val="19"/>
              </w:rPr>
              <w:t>模块完整，管理能力强，适合规模化学校</w:t>
            </w:r>
          </w:p>
        </w:tc>
        <w:tc>
          <w:tcPr>
            <w:tcW w:type="dxa" w:w="2500"/>
            <w:vAlign w:val="center"/>
          </w:tcPr>
          <w:p>
            <w:pPr>
              <w:spacing w:after="0" w:line="269" w:lineRule="auto"/>
              <w:jc w:val="left"/>
            </w:pPr>
            <w:r>
              <w:rPr>
                <w:rFonts w:ascii="宋体" w:hAnsi="宋体" w:eastAsia="宋体"/>
                <w:sz w:val="19"/>
              </w:rPr>
              <w:t>部署和采购成本较高，二次定制周期长</w:t>
            </w:r>
          </w:p>
        </w:tc>
        <w:tc>
          <w:tcPr>
            <w:tcW w:type="dxa" w:w="2460"/>
            <w:vAlign w:val="center"/>
          </w:tcPr>
          <w:p>
            <w:pPr>
              <w:spacing w:after="0" w:line="269" w:lineRule="auto"/>
              <w:jc w:val="left"/>
            </w:pPr>
            <w:r>
              <w:rPr>
                <w:rFonts w:ascii="宋体" w:hAnsi="宋体" w:eastAsia="宋体"/>
                <w:sz w:val="19"/>
              </w:rPr>
              <w:t>以轻量部署和课程原型方式切入基层学校试点</w:t>
            </w:r>
          </w:p>
        </w:tc>
      </w:tr>
    </w:tbl>
    <w:p>
      <w:pPr>
        <w:spacing w:before="40" w:after="160"/>
        <w:jc w:val="center"/>
      </w:pPr>
      <w:r>
        <w:rPr>
          <w:rFonts w:ascii="宋体" w:hAnsi="宋体" w:eastAsia="宋体"/>
          <w:color w:val="595959"/>
          <w:sz w:val="18"/>
        </w:rPr>
        <w:t>表 2-2 竞品类型对比</w:t>
      </w:r>
    </w:p>
    <w:p>
      <w:pPr>
        <w:spacing w:after="120" w:line="300" w:lineRule="auto"/>
        <w:ind w:firstLine="420"/>
      </w:pPr>
      <w:r>
        <w:rPr>
          <w:rFonts w:ascii="宋体" w:hAnsi="宋体" w:eastAsia="宋体"/>
          <w:sz w:val="21"/>
        </w:rPr>
        <w:t>综合来看，LinkEdu 不宜与成熟大型平台正面竞争校务管理能力，而应突出“资料驱动生成、双角色协同、轻量部署、多模态任务流水线”四个差异点。其竞争重点不是做最大最全的平台，而是在教学任务链路中提供更贴近课堂、更容易落地的 AI 辅助体验。</w:t>
      </w:r>
    </w:p>
    <w:p>
      <w:pPr>
        <w:pStyle w:val="Heading1"/>
        <w:jc w:val="center"/>
      </w:pPr>
      <w:r>
        <w:rPr>
          <w:rFonts w:ascii="黑体" w:hAnsi="黑体" w:eastAsia="黑体"/>
          <w:b/>
          <w:color w:val="2E74B5"/>
          <w:sz w:val="32"/>
        </w:rPr>
        <w:t>3 可行性分析</w:t>
      </w:r>
    </w:p>
    <w:p>
      <w:pPr>
        <w:pStyle w:val="Heading2"/>
      </w:pPr>
      <w:r>
        <w:rPr>
          <w:rFonts w:ascii="黑体" w:hAnsi="黑体" w:eastAsia="黑体"/>
          <w:b/>
          <w:color w:val="2E74B5"/>
          <w:sz w:val="28"/>
        </w:rPr>
        <w:t>3.1 政策调查</w:t>
      </w:r>
    </w:p>
    <w:p>
      <w:pPr>
        <w:spacing w:after="120" w:line="300" w:lineRule="auto"/>
        <w:ind w:firstLine="420"/>
      </w:pPr>
      <w:r>
        <w:rPr>
          <w:rFonts w:ascii="宋体" w:hAnsi="宋体" w:eastAsia="宋体"/>
          <w:sz w:val="21"/>
        </w:rPr>
        <w:t>政策层面，教育数字化和人工智能应用均具备明确发展空间，但生成式 AI 在教育场景的使用必须遵守数据、内容和未成年人保护要求。《生成式人工智能服务管理暂行办法》自 2023 年 8 月 15 日起施行，要求服务提供者使用合法来源的数据和基础模型，保护个人信息，提高生成内容准确性和可靠性，并采取措施防范未成年人过度依赖或沉迷生成式 AI 服务</w:t>
      </w:r>
      <w:r>
        <w:rPr>
          <w:rFonts w:ascii="宋体" w:hAnsi="宋体" w:eastAsia="宋体"/>
          <w:color w:val="1F4E79"/>
          <w:sz w:val="21"/>
        </w:rPr>
        <w:t>[1]</w:t>
      </w:r>
      <w:r>
        <w:rPr>
          <w:rFonts w:ascii="宋体" w:hAnsi="宋体" w:eastAsia="宋体"/>
          <w:sz w:val="21"/>
        </w:rPr>
        <w:t>。这些要求对 LinkEdu 的产品设计具有直接约束。</w:t>
      </w:r>
    </w:p>
    <w:p>
      <w:pPr>
        <w:spacing w:after="120" w:line="300" w:lineRule="auto"/>
        <w:ind w:firstLine="420"/>
      </w:pPr>
      <w:r>
        <w:rPr>
          <w:rFonts w:ascii="宋体" w:hAnsi="宋体" w:eastAsia="宋体"/>
          <w:sz w:val="21"/>
        </w:rPr>
        <w:t>国际层面，UNESCO 的生成式 AI 教育指南强调以人为本、数据隐私、年龄适配和教学设计。该指南认为，教育机构不能只追逐工具，而应建立政策框架、伦理验证和教学适配机制</w:t>
      </w:r>
      <w:r>
        <w:rPr>
          <w:rFonts w:ascii="宋体" w:hAnsi="宋体" w:eastAsia="宋体"/>
          <w:color w:val="1F4E79"/>
          <w:sz w:val="21"/>
        </w:rPr>
        <w:t>[2]</w:t>
      </w:r>
      <w:r>
        <w:rPr>
          <w:rFonts w:ascii="宋体" w:hAnsi="宋体" w:eastAsia="宋体"/>
          <w:sz w:val="21"/>
        </w:rPr>
        <w:t>。因此，LinkEdu 后续进入真实学校试点时，应明确教师审核机制、学生数据最小化采集、生成内容标识、敏感信息保护和学习建议边界。</w:t>
      </w:r>
    </w:p>
    <w:p>
      <w:pPr>
        <w:spacing w:after="120" w:line="300" w:lineRule="auto"/>
        <w:ind w:firstLine="420"/>
      </w:pPr>
      <w:r>
        <w:rPr>
          <w:rFonts w:ascii="宋体" w:hAnsi="宋体" w:eastAsia="宋体"/>
          <w:sz w:val="21"/>
        </w:rPr>
        <w:t>从政策可行性看，LinkEdu 的本地化部署、资料权限隔离、账户认证和结果持久化设计有利于满足教育场景对数据可控性的要求。但若未来面向公众开放或对接第三方大模型 API，则需要进一步完善隐私政策、内容审核、日志留存、模型服务合规说明和未成年人保护提示。</w:t>
      </w:r>
    </w:p>
    <w:p>
      <w:pPr>
        <w:pStyle w:val="Heading2"/>
      </w:pPr>
      <w:r>
        <w:rPr>
          <w:rFonts w:ascii="黑体" w:hAnsi="黑体" w:eastAsia="黑体"/>
          <w:b/>
          <w:color w:val="2E74B5"/>
          <w:sz w:val="28"/>
        </w:rPr>
        <w:t>3.2 技术和时间分析</w:t>
      </w:r>
    </w:p>
    <w:p>
      <w:pPr>
        <w:spacing w:after="120" w:line="300" w:lineRule="auto"/>
        <w:ind w:firstLine="420"/>
      </w:pPr>
      <w:r>
        <w:rPr>
          <w:rFonts w:ascii="宋体" w:hAnsi="宋体" w:eastAsia="宋体"/>
          <w:sz w:val="21"/>
        </w:rPr>
        <w:t>技术上，LinkEdu 已经形成可运行的前后端分离架构。前端采用 Vue 3、Vite 和 TypeScript，后端采用 Python FastAPI，存储层采用 SQLite、JSON 文件和本地文件系统。该技术组合学习成本相对可控，部署依赖较轻，适合课程设计作品、实验室展示和小规模学校试点。</w:t>
      </w:r>
    </w:p>
    <w:p>
      <w:pPr>
        <w:spacing w:after="120" w:line="300" w:lineRule="auto"/>
        <w:ind w:firstLine="420"/>
      </w:pPr>
      <w:r>
        <w:rPr>
          <w:rFonts w:ascii="宋体" w:hAnsi="宋体" w:eastAsia="宋体"/>
          <w:sz w:val="21"/>
        </w:rPr>
        <w:t>关键 AI 能力方面，LinkEdu 当前没有自研基础大模型，而是通过工程化链路提升教育适配能力。资料增强生成思路与 RAG 研究方向一致，即把外部非参数知识与模型生成结合，以提高知识密集任务的事实性和可更新性</w:t>
      </w:r>
      <w:r>
        <w:rPr>
          <w:rFonts w:ascii="宋体" w:hAnsi="宋体" w:eastAsia="宋体"/>
          <w:color w:val="1F4E79"/>
          <w:sz w:val="21"/>
        </w:rPr>
        <w:t>[4]</w:t>
      </w:r>
      <w:r>
        <w:rPr>
          <w:rFonts w:ascii="宋体" w:hAnsi="宋体" w:eastAsia="宋体"/>
          <w:sz w:val="21"/>
        </w:rPr>
        <w:t>。基于 LoRA 的轻量化领域适配方案也具有理论可行性，LoRA 通过冻结预训练模型权重并注入低秩可训练矩阵，大幅降低微调参数量和显存需求</w:t>
      </w:r>
      <w:r>
        <w:rPr>
          <w:rFonts w:ascii="宋体" w:hAnsi="宋体" w:eastAsia="宋体"/>
          <w:color w:val="1F4E79"/>
          <w:sz w:val="21"/>
        </w:rPr>
        <w:t>[5]</w:t>
      </w:r>
      <w:r>
        <w:rPr>
          <w:rFonts w:ascii="宋体" w:hAnsi="宋体" w:eastAsia="宋体"/>
          <w:sz w:val="21"/>
        </w:rPr>
        <w:t>。这使教育领域小样本适配具备更现实的工程路径。</w:t>
      </w:r>
    </w:p>
    <w:p>
      <w:pPr>
        <w:spacing w:after="120" w:line="300" w:lineRule="auto"/>
        <w:ind w:firstLine="420"/>
      </w:pPr>
      <w:r>
        <w:rPr>
          <w:rFonts w:ascii="宋体" w:hAnsi="宋体" w:eastAsia="宋体"/>
          <w:sz w:val="21"/>
        </w:rPr>
        <w:t>时间上，当前版本已经实现核心功能闭环，后续工作可按“工程修复—试点验证—产品化增强”三阶段推进。短期重点应放在前端构建问题、类型规范、自动化测试和部署脚本稳定性上；中期重点应放在教学资源库、评价指标和教师审核流程上；长期则可扩展到多校区部署、知识图谱和更完整的学习分析体系。</w:t>
      </w:r>
    </w:p>
    <w:p>
      <w:pPr>
        <w:pStyle w:val="Heading2"/>
      </w:pPr>
      <w:r>
        <w:rPr>
          <w:rFonts w:ascii="黑体" w:hAnsi="黑体" w:eastAsia="黑体"/>
          <w:b/>
          <w:color w:val="2E74B5"/>
          <w:sz w:val="28"/>
        </w:rPr>
        <w:t>3.3 成本收益分析</w:t>
      </w:r>
    </w:p>
    <w:p>
      <w:pPr>
        <w:spacing w:after="120" w:line="300" w:lineRule="auto"/>
        <w:ind w:firstLine="420"/>
      </w:pPr>
      <w:r>
        <w:rPr>
          <w:rFonts w:ascii="宋体" w:hAnsi="宋体" w:eastAsia="宋体"/>
          <w:sz w:val="21"/>
        </w:rPr>
        <w:t>LinkEdu 当前采用轻量化技术栈，主要成本来自开发维护、模型调用、文件存储、服务器部署和试点培训。与采购大型智慧教育平台相比，LinkEdu 在小规模试点阶段的基础设施成本较低；与完全依赖通用大模型相比，LinkEdu 通过资料截断、任务路由和本地存储降低不必要的模型调用和数据传输。</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700"/>
        <w:gridCol w:w="3900"/>
        <w:gridCol w:w="3760"/>
      </w:tblGrid>
      <w:tr>
        <w:tc>
          <w:tcPr>
            <w:tcW w:type="dxa" w:w="1700"/>
            <w:shd w:fill="E8EEF5"/>
            <w:vAlign w:val="center"/>
          </w:tcPr>
          <w:p>
            <w:pPr>
              <w:spacing w:after="0" w:line="269" w:lineRule="auto"/>
              <w:jc w:val="center"/>
            </w:pPr>
            <w:r>
              <w:rPr>
                <w:rFonts w:ascii="宋体" w:hAnsi="宋体" w:eastAsia="宋体"/>
                <w:b/>
                <w:sz w:val="19"/>
              </w:rPr>
              <w:t>成本项</w:t>
            </w:r>
          </w:p>
        </w:tc>
        <w:tc>
          <w:tcPr>
            <w:tcW w:type="dxa" w:w="3900"/>
            <w:shd w:fill="E8EEF5"/>
            <w:vAlign w:val="center"/>
          </w:tcPr>
          <w:p>
            <w:pPr>
              <w:spacing w:after="0" w:line="269" w:lineRule="auto"/>
              <w:jc w:val="center"/>
            </w:pPr>
            <w:r>
              <w:rPr>
                <w:rFonts w:ascii="宋体" w:hAnsi="宋体" w:eastAsia="宋体"/>
                <w:b/>
                <w:sz w:val="19"/>
              </w:rPr>
              <w:t>主要内容</w:t>
            </w:r>
          </w:p>
        </w:tc>
        <w:tc>
          <w:tcPr>
            <w:tcW w:type="dxa" w:w="3760"/>
            <w:shd w:fill="E8EEF5"/>
            <w:vAlign w:val="center"/>
          </w:tcPr>
          <w:p>
            <w:pPr>
              <w:spacing w:after="0" w:line="269" w:lineRule="auto"/>
              <w:jc w:val="center"/>
            </w:pPr>
            <w:r>
              <w:rPr>
                <w:rFonts w:ascii="宋体" w:hAnsi="宋体" w:eastAsia="宋体"/>
                <w:b/>
                <w:sz w:val="19"/>
              </w:rPr>
              <w:t>控制方式</w:t>
            </w:r>
          </w:p>
        </w:tc>
      </w:tr>
      <w:tr>
        <w:tc>
          <w:tcPr>
            <w:tcW w:type="dxa" w:w="1700"/>
            <w:vAlign w:val="center"/>
          </w:tcPr>
          <w:p>
            <w:pPr>
              <w:spacing w:after="0" w:line="269" w:lineRule="auto"/>
              <w:jc w:val="center"/>
            </w:pPr>
            <w:r>
              <w:rPr>
                <w:rFonts w:ascii="宋体" w:hAnsi="宋体" w:eastAsia="宋体"/>
                <w:sz w:val="19"/>
              </w:rPr>
              <w:t>开发维护成本</w:t>
            </w:r>
          </w:p>
        </w:tc>
        <w:tc>
          <w:tcPr>
            <w:tcW w:type="dxa" w:w="3900"/>
            <w:vAlign w:val="center"/>
          </w:tcPr>
          <w:p>
            <w:pPr>
              <w:spacing w:after="0" w:line="269" w:lineRule="auto"/>
              <w:jc w:val="left"/>
            </w:pPr>
            <w:r>
              <w:rPr>
                <w:rFonts w:ascii="宋体" w:hAnsi="宋体" w:eastAsia="宋体"/>
                <w:sz w:val="19"/>
              </w:rPr>
              <w:t>前后端功能迭代、Agent 流程维护、测试修复</w:t>
            </w:r>
          </w:p>
        </w:tc>
        <w:tc>
          <w:tcPr>
            <w:tcW w:type="dxa" w:w="3760"/>
            <w:vAlign w:val="center"/>
          </w:tcPr>
          <w:p>
            <w:pPr>
              <w:spacing w:after="0" w:line="269" w:lineRule="auto"/>
              <w:jc w:val="left"/>
            </w:pPr>
            <w:r>
              <w:rPr>
                <w:rFonts w:ascii="宋体" w:hAnsi="宋体" w:eastAsia="宋体"/>
                <w:sz w:val="19"/>
              </w:rPr>
              <w:t>模块化 route + agent + storage 结构，逐模块迭代</w:t>
            </w:r>
          </w:p>
        </w:tc>
      </w:tr>
      <w:tr>
        <w:tc>
          <w:tcPr>
            <w:tcW w:type="dxa" w:w="1700"/>
            <w:vAlign w:val="center"/>
          </w:tcPr>
          <w:p>
            <w:pPr>
              <w:spacing w:after="0" w:line="269" w:lineRule="auto"/>
              <w:jc w:val="center"/>
            </w:pPr>
            <w:r>
              <w:rPr>
                <w:rFonts w:ascii="宋体" w:hAnsi="宋体" w:eastAsia="宋体"/>
                <w:sz w:val="19"/>
              </w:rPr>
              <w:t>模型调用成本</w:t>
            </w:r>
          </w:p>
        </w:tc>
        <w:tc>
          <w:tcPr>
            <w:tcW w:type="dxa" w:w="3900"/>
            <w:vAlign w:val="center"/>
          </w:tcPr>
          <w:p>
            <w:pPr>
              <w:spacing w:after="0" w:line="269" w:lineRule="auto"/>
              <w:jc w:val="left"/>
            </w:pPr>
            <w:r>
              <w:rPr>
                <w:rFonts w:ascii="宋体" w:hAnsi="宋体" w:eastAsia="宋体"/>
                <w:sz w:val="19"/>
              </w:rPr>
              <w:t>教案、测验、笔记、播客脚本、视频脚本等生成任务</w:t>
            </w:r>
          </w:p>
        </w:tc>
        <w:tc>
          <w:tcPr>
            <w:tcW w:type="dxa" w:w="3760"/>
            <w:vAlign w:val="center"/>
          </w:tcPr>
          <w:p>
            <w:pPr>
              <w:spacing w:after="0" w:line="269" w:lineRule="auto"/>
              <w:jc w:val="left"/>
            </w:pPr>
            <w:r>
              <w:rPr>
                <w:rFonts w:ascii="宋体" w:hAnsi="宋体" w:eastAsia="宋体"/>
                <w:sz w:val="19"/>
              </w:rPr>
              <w:t>资料截断、轻量任务路由、缓存历史结果、限制重复生成</w:t>
            </w:r>
          </w:p>
        </w:tc>
      </w:tr>
      <w:tr>
        <w:tc>
          <w:tcPr>
            <w:tcW w:type="dxa" w:w="1700"/>
            <w:vAlign w:val="center"/>
          </w:tcPr>
          <w:p>
            <w:pPr>
              <w:spacing w:after="0" w:line="269" w:lineRule="auto"/>
              <w:jc w:val="center"/>
            </w:pPr>
            <w:r>
              <w:rPr>
                <w:rFonts w:ascii="宋体" w:hAnsi="宋体" w:eastAsia="宋体"/>
                <w:sz w:val="19"/>
              </w:rPr>
              <w:t>部署成本</w:t>
            </w:r>
          </w:p>
        </w:tc>
        <w:tc>
          <w:tcPr>
            <w:tcW w:type="dxa" w:w="3900"/>
            <w:vAlign w:val="center"/>
          </w:tcPr>
          <w:p>
            <w:pPr>
              <w:spacing w:after="0" w:line="269" w:lineRule="auto"/>
              <w:jc w:val="left"/>
            </w:pPr>
            <w:r>
              <w:rPr>
                <w:rFonts w:ascii="宋体" w:hAnsi="宋体" w:eastAsia="宋体"/>
                <w:sz w:val="19"/>
              </w:rPr>
              <w:t>服务器、域名、HTTPS、Docker 环境和静态资源托管</w:t>
            </w:r>
          </w:p>
        </w:tc>
        <w:tc>
          <w:tcPr>
            <w:tcW w:type="dxa" w:w="3760"/>
            <w:vAlign w:val="center"/>
          </w:tcPr>
          <w:p>
            <w:pPr>
              <w:spacing w:after="0" w:line="269" w:lineRule="auto"/>
              <w:jc w:val="left"/>
            </w:pPr>
            <w:r>
              <w:rPr>
                <w:rFonts w:ascii="宋体" w:hAnsi="宋体" w:eastAsia="宋体"/>
                <w:sz w:val="19"/>
              </w:rPr>
              <w:t>优先支持本地运行和单机部署，后续再扩容</w:t>
            </w:r>
          </w:p>
        </w:tc>
      </w:tr>
      <w:tr>
        <w:tc>
          <w:tcPr>
            <w:tcW w:type="dxa" w:w="1700"/>
            <w:vAlign w:val="center"/>
          </w:tcPr>
          <w:p>
            <w:pPr>
              <w:spacing w:after="0" w:line="269" w:lineRule="auto"/>
              <w:jc w:val="center"/>
            </w:pPr>
            <w:r>
              <w:rPr>
                <w:rFonts w:ascii="宋体" w:hAnsi="宋体" w:eastAsia="宋体"/>
                <w:sz w:val="19"/>
              </w:rPr>
              <w:t>合规成本</w:t>
            </w:r>
          </w:p>
        </w:tc>
        <w:tc>
          <w:tcPr>
            <w:tcW w:type="dxa" w:w="3900"/>
            <w:vAlign w:val="center"/>
          </w:tcPr>
          <w:p>
            <w:pPr>
              <w:spacing w:after="0" w:line="269" w:lineRule="auto"/>
              <w:jc w:val="left"/>
            </w:pPr>
            <w:r>
              <w:rPr>
                <w:rFonts w:ascii="宋体" w:hAnsi="宋体" w:eastAsia="宋体"/>
                <w:sz w:val="19"/>
              </w:rPr>
              <w:t>隐私政策、内容审核、未成年人保护、日志管理</w:t>
            </w:r>
          </w:p>
        </w:tc>
        <w:tc>
          <w:tcPr>
            <w:tcW w:type="dxa" w:w="3760"/>
            <w:vAlign w:val="center"/>
          </w:tcPr>
          <w:p>
            <w:pPr>
              <w:spacing w:after="0" w:line="269" w:lineRule="auto"/>
              <w:jc w:val="left"/>
            </w:pPr>
            <w:r>
              <w:rPr>
                <w:rFonts w:ascii="宋体" w:hAnsi="宋体" w:eastAsia="宋体"/>
                <w:sz w:val="19"/>
              </w:rPr>
              <w:t>本地化存储、权限隔离、敏感信息提示和教师审核流程</w:t>
            </w:r>
          </w:p>
        </w:tc>
      </w:tr>
      <w:tr>
        <w:tc>
          <w:tcPr>
            <w:tcW w:type="dxa" w:w="1700"/>
            <w:vAlign w:val="center"/>
          </w:tcPr>
          <w:p>
            <w:pPr>
              <w:spacing w:after="0" w:line="269" w:lineRule="auto"/>
              <w:jc w:val="center"/>
            </w:pPr>
            <w:r>
              <w:rPr>
                <w:rFonts w:ascii="宋体" w:hAnsi="宋体" w:eastAsia="宋体"/>
                <w:sz w:val="19"/>
              </w:rPr>
              <w:t>培训成本</w:t>
            </w:r>
          </w:p>
        </w:tc>
        <w:tc>
          <w:tcPr>
            <w:tcW w:type="dxa" w:w="3900"/>
            <w:vAlign w:val="center"/>
          </w:tcPr>
          <w:p>
            <w:pPr>
              <w:spacing w:after="0" w:line="269" w:lineRule="auto"/>
              <w:jc w:val="left"/>
            </w:pPr>
            <w:r>
              <w:rPr>
                <w:rFonts w:ascii="宋体" w:hAnsi="宋体" w:eastAsia="宋体"/>
                <w:sz w:val="19"/>
              </w:rPr>
              <w:t>教师和学生使用培训、试点学校反馈收集</w:t>
            </w:r>
          </w:p>
        </w:tc>
        <w:tc>
          <w:tcPr>
            <w:tcW w:type="dxa" w:w="3760"/>
            <w:vAlign w:val="center"/>
          </w:tcPr>
          <w:p>
            <w:pPr>
              <w:spacing w:after="0" w:line="269" w:lineRule="auto"/>
              <w:jc w:val="left"/>
            </w:pPr>
            <w:r>
              <w:rPr>
                <w:rFonts w:ascii="宋体" w:hAnsi="宋体" w:eastAsia="宋体"/>
                <w:sz w:val="19"/>
              </w:rPr>
              <w:t>围绕典型场景制作操作手册和示范课程</w:t>
            </w:r>
          </w:p>
        </w:tc>
      </w:tr>
    </w:tbl>
    <w:p>
      <w:pPr>
        <w:spacing w:before="40" w:after="160"/>
        <w:jc w:val="center"/>
      </w:pPr>
      <w:r>
        <w:rPr>
          <w:rFonts w:ascii="宋体" w:hAnsi="宋体" w:eastAsia="宋体"/>
          <w:color w:val="595959"/>
          <w:sz w:val="18"/>
        </w:rPr>
        <w:t>表 3-1 成本构成与控制方式</w:t>
      </w:r>
    </w:p>
    <w:p>
      <w:pPr>
        <w:spacing w:after="120" w:line="300" w:lineRule="auto"/>
        <w:ind w:firstLine="420"/>
      </w:pPr>
      <w:r>
        <w:rPr>
          <w:rFonts w:ascii="宋体" w:hAnsi="宋体" w:eastAsia="宋体"/>
          <w:sz w:val="21"/>
        </w:rPr>
        <w:t>收益方面，教师可以减少备课材料整合和初稿生成时间，学生可以获得更连续的学习记录和复习建议，学校可以形成具有展示价值的 AI 教育试点成果。若以基层学校为切入点，LinkEdu 的价值不在于短期商业收入最大化，而在于以低成本验证“校本资料 + 双角色 AI 助手 + 学习复盘”的产品路径。</w:t>
      </w:r>
    </w:p>
    <w:p>
      <w:pPr>
        <w:pStyle w:val="Heading2"/>
      </w:pPr>
      <w:r>
        <w:rPr>
          <w:rFonts w:ascii="黑体" w:hAnsi="黑体" w:eastAsia="黑体"/>
          <w:b/>
          <w:color w:val="2E74B5"/>
          <w:sz w:val="28"/>
        </w:rPr>
        <w:t>3.4 SWOT分析</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600"/>
        <w:gridCol w:w="7760"/>
      </w:tblGrid>
      <w:tr>
        <w:tc>
          <w:tcPr>
            <w:tcW w:type="dxa" w:w="1600"/>
            <w:shd w:fill="E8EEF5"/>
            <w:vAlign w:val="center"/>
          </w:tcPr>
          <w:p>
            <w:pPr>
              <w:spacing w:after="0" w:line="269" w:lineRule="auto"/>
              <w:jc w:val="center"/>
            </w:pPr>
            <w:r>
              <w:rPr>
                <w:rFonts w:ascii="宋体" w:hAnsi="宋体" w:eastAsia="宋体"/>
                <w:b/>
                <w:sz w:val="19"/>
              </w:rPr>
              <w:t>维度</w:t>
            </w:r>
          </w:p>
        </w:tc>
        <w:tc>
          <w:tcPr>
            <w:tcW w:type="dxa" w:w="7760"/>
            <w:shd w:fill="E8EEF5"/>
            <w:vAlign w:val="center"/>
          </w:tcPr>
          <w:p>
            <w:pPr>
              <w:spacing w:after="0" w:line="269" w:lineRule="auto"/>
              <w:jc w:val="center"/>
            </w:pPr>
            <w:r>
              <w:rPr>
                <w:rFonts w:ascii="宋体" w:hAnsi="宋体" w:eastAsia="宋体"/>
                <w:b/>
                <w:sz w:val="19"/>
              </w:rPr>
              <w:t>分析内容</w:t>
            </w:r>
          </w:p>
        </w:tc>
      </w:tr>
      <w:tr>
        <w:tc>
          <w:tcPr>
            <w:tcW w:type="dxa" w:w="1600"/>
            <w:vAlign w:val="center"/>
          </w:tcPr>
          <w:p>
            <w:pPr>
              <w:spacing w:after="0" w:line="269" w:lineRule="auto"/>
              <w:jc w:val="center"/>
            </w:pPr>
            <w:r>
              <w:rPr>
                <w:rFonts w:ascii="宋体" w:hAnsi="宋体" w:eastAsia="宋体"/>
                <w:sz w:val="19"/>
              </w:rPr>
              <w:t>优势 S</w:t>
            </w:r>
          </w:p>
        </w:tc>
        <w:tc>
          <w:tcPr>
            <w:tcW w:type="dxa" w:w="7760"/>
            <w:vAlign w:val="center"/>
          </w:tcPr>
          <w:p>
            <w:pPr>
              <w:spacing w:after="0" w:line="269" w:lineRule="auto"/>
              <w:jc w:val="left"/>
            </w:pPr>
            <w:r>
              <w:rPr>
                <w:rFonts w:ascii="宋体" w:hAnsi="宋体" w:eastAsia="宋体"/>
                <w:sz w:val="19"/>
              </w:rPr>
              <w:t>功能覆盖教师端和学生端，围绕资料增强、历史沉淀和多模态生成形成闭环；轻量化部署降低试点门槛；项目已有公网展示验证和小规模 Benchmark 评测结果。</w:t>
            </w:r>
          </w:p>
        </w:tc>
      </w:tr>
      <w:tr>
        <w:tc>
          <w:tcPr>
            <w:tcW w:type="dxa" w:w="1600"/>
            <w:vAlign w:val="center"/>
          </w:tcPr>
          <w:p>
            <w:pPr>
              <w:spacing w:after="0" w:line="269" w:lineRule="auto"/>
              <w:jc w:val="center"/>
            </w:pPr>
            <w:r>
              <w:rPr>
                <w:rFonts w:ascii="宋体" w:hAnsi="宋体" w:eastAsia="宋体"/>
                <w:sz w:val="19"/>
              </w:rPr>
              <w:t>劣势 W</w:t>
            </w:r>
          </w:p>
        </w:tc>
        <w:tc>
          <w:tcPr>
            <w:tcW w:type="dxa" w:w="7760"/>
            <w:vAlign w:val="center"/>
          </w:tcPr>
          <w:p>
            <w:pPr>
              <w:spacing w:after="0" w:line="269" w:lineRule="auto"/>
              <w:jc w:val="left"/>
            </w:pPr>
            <w:r>
              <w:rPr>
                <w:rFonts w:ascii="宋体" w:hAnsi="宋体" w:eastAsia="宋体"/>
                <w:sz w:val="19"/>
              </w:rPr>
              <w:t>当前仍属于原型系统，前端工程化、自动化测试、权限细粒度管理和内容审核机制有待加强；部分多模态任务依赖外部模型服务和 ffmpeg 等环境。</w:t>
            </w:r>
          </w:p>
        </w:tc>
      </w:tr>
      <w:tr>
        <w:tc>
          <w:tcPr>
            <w:tcW w:type="dxa" w:w="1600"/>
            <w:vAlign w:val="center"/>
          </w:tcPr>
          <w:p>
            <w:pPr>
              <w:spacing w:after="0" w:line="269" w:lineRule="auto"/>
              <w:jc w:val="center"/>
            </w:pPr>
            <w:r>
              <w:rPr>
                <w:rFonts w:ascii="宋体" w:hAnsi="宋体" w:eastAsia="宋体"/>
                <w:sz w:val="19"/>
              </w:rPr>
              <w:t>机会 O</w:t>
            </w:r>
          </w:p>
        </w:tc>
        <w:tc>
          <w:tcPr>
            <w:tcW w:type="dxa" w:w="7760"/>
            <w:vAlign w:val="center"/>
          </w:tcPr>
          <w:p>
            <w:pPr>
              <w:spacing w:after="0" w:line="269" w:lineRule="auto"/>
              <w:jc w:val="left"/>
            </w:pPr>
            <w:r>
              <w:rPr>
                <w:rFonts w:ascii="宋体" w:hAnsi="宋体" w:eastAsia="宋体"/>
                <w:sz w:val="19"/>
              </w:rPr>
              <w:t>教育数字化、生成式 AI 和基层学校资源均衡需求持续增长；教师备课和学生复盘存在明确高频痛点；校本资料增强工具仍有差异化空间。</w:t>
            </w:r>
          </w:p>
        </w:tc>
      </w:tr>
      <w:tr>
        <w:tc>
          <w:tcPr>
            <w:tcW w:type="dxa" w:w="1600"/>
            <w:vAlign w:val="center"/>
          </w:tcPr>
          <w:p>
            <w:pPr>
              <w:spacing w:after="0" w:line="269" w:lineRule="auto"/>
              <w:jc w:val="center"/>
            </w:pPr>
            <w:r>
              <w:rPr>
                <w:rFonts w:ascii="宋体" w:hAnsi="宋体" w:eastAsia="宋体"/>
                <w:sz w:val="19"/>
              </w:rPr>
              <w:t>威胁 T</w:t>
            </w:r>
          </w:p>
        </w:tc>
        <w:tc>
          <w:tcPr>
            <w:tcW w:type="dxa" w:w="7760"/>
            <w:vAlign w:val="center"/>
          </w:tcPr>
          <w:p>
            <w:pPr>
              <w:spacing w:after="0" w:line="269" w:lineRule="auto"/>
              <w:jc w:val="left"/>
            </w:pPr>
            <w:r>
              <w:rPr>
                <w:rFonts w:ascii="宋体" w:hAnsi="宋体" w:eastAsia="宋体"/>
                <w:sz w:val="19"/>
              </w:rPr>
              <w:t>通用大模型和大型智慧教育平台迭代速度快；教育 AI 合规要求提高；若生成结果不稳定或学生过度依赖，可能影响学校采纳意愿。</w:t>
            </w:r>
          </w:p>
        </w:tc>
      </w:tr>
    </w:tbl>
    <w:p>
      <w:pPr>
        <w:spacing w:before="40" w:after="160"/>
        <w:jc w:val="center"/>
      </w:pPr>
      <w:r>
        <w:rPr>
          <w:rFonts w:ascii="宋体" w:hAnsi="宋体" w:eastAsia="宋体"/>
          <w:color w:val="595959"/>
          <w:sz w:val="18"/>
        </w:rPr>
        <w:t>表 3-2 LinkEdu SWOT 分析</w:t>
      </w:r>
    </w:p>
    <w:p>
      <w:pPr>
        <w:pStyle w:val="Heading2"/>
      </w:pPr>
      <w:r>
        <w:rPr>
          <w:rFonts w:ascii="黑体" w:hAnsi="黑体" w:eastAsia="黑体"/>
          <w:b/>
          <w:color w:val="2E74B5"/>
          <w:sz w:val="28"/>
        </w:rPr>
        <w:t>3.5 问题/风险和或有费用</w:t>
      </w:r>
    </w:p>
    <w:p>
      <w:pPr>
        <w:spacing w:after="120" w:line="300" w:lineRule="auto"/>
        <w:ind w:firstLine="420"/>
      </w:pPr>
      <w:r>
        <w:rPr>
          <w:rFonts w:ascii="宋体" w:hAnsi="宋体" w:eastAsia="宋体"/>
          <w:sz w:val="21"/>
        </w:rPr>
        <w:t>LinkEdu 后续落地需要重点关注五类风险。第一是生成内容准确性风险，尤其是题目解析、知识点解释和教学视频脚本中可能出现事实错误或不当表达；第二是学生隐私与学习数据风险，错题记录、学习轨迹和口语数据均需要最小化采集和授权管理；第三是模型服务稳定性风险，外部 API、TTS、图像或视频服务可能出现限流和费用波动；第四是工程部署风险，不同学校网络环境、浏览器、服务器和 Docker 版本可能影响可用性；第五是教师采纳风险，如果工具操作复杂或生成结果需大量返工，会降低持续使用意愿。</w:t>
      </w:r>
    </w:p>
    <w:p>
      <w:pPr>
        <w:spacing w:after="120" w:line="300" w:lineRule="auto"/>
        <w:ind w:firstLine="420"/>
      </w:pPr>
      <w:r>
        <w:rPr>
          <w:rFonts w:ascii="宋体" w:hAnsi="宋体" w:eastAsia="宋体"/>
          <w:sz w:val="21"/>
        </w:rPr>
        <w:t>或有费用主要包括模型调用超额费用、服务器扩容费用、HTTPS/域名及对象存储费用、内容审核或日志系统建设费用、教师培训和试点支持费用。建议在试点阶段设置每日调用上限、功能灰度开关、错误日志监控和人工审核入口，先控制风险再扩大范围。</w:t>
      </w:r>
    </w:p>
    <w:p>
      <w:pPr>
        <w:pStyle w:val="Heading2"/>
      </w:pPr>
      <w:r>
        <w:rPr>
          <w:rFonts w:ascii="黑体" w:hAnsi="黑体" w:eastAsia="黑体"/>
          <w:b/>
          <w:color w:val="2E74B5"/>
          <w:sz w:val="28"/>
        </w:rPr>
        <w:t>3.6 其它</w:t>
      </w:r>
    </w:p>
    <w:p>
      <w:pPr>
        <w:spacing w:after="120" w:line="300" w:lineRule="auto"/>
        <w:ind w:firstLine="420"/>
      </w:pPr>
      <w:r>
        <w:rPr>
          <w:rFonts w:ascii="宋体" w:hAnsi="宋体" w:eastAsia="宋体"/>
          <w:sz w:val="21"/>
        </w:rPr>
        <w:t>除市场和技术可行性外，LinkEdu 还具有较强的教学研究价值。系统能够沉淀资料选择、任务类型、生成结果、错题记录和复习趋势等过程数据，为后续分析“AI 如何影响教师备课效率、学生复习行为和知识掌握变化”提供基础。不过，相关研究应在匿名化、授权和伦理审查前提下开展，避免把学习数据直接用于高风险评价或排名。</w:t>
      </w:r>
    </w:p>
    <w:p>
      <w:pPr>
        <w:pStyle w:val="Heading1"/>
        <w:jc w:val="center"/>
      </w:pPr>
      <w:r>
        <w:rPr>
          <w:rFonts w:ascii="黑体" w:hAnsi="黑体" w:eastAsia="黑体"/>
          <w:b/>
          <w:color w:val="2E74B5"/>
          <w:sz w:val="32"/>
        </w:rPr>
        <w:t>4 产品发展目标</w:t>
      </w:r>
    </w:p>
    <w:p>
      <w:pPr>
        <w:pStyle w:val="Heading2"/>
      </w:pPr>
      <w:r>
        <w:rPr>
          <w:rFonts w:ascii="黑体" w:hAnsi="黑体" w:eastAsia="黑体"/>
          <w:b/>
          <w:color w:val="2E74B5"/>
          <w:sz w:val="28"/>
        </w:rPr>
        <w:t>4.1 近期目标（1-3个月）</w:t>
      </w:r>
    </w:p>
    <w:p>
      <w:pPr>
        <w:pStyle w:val="ListNumber"/>
        <w:spacing w:after="80" w:line="283" w:lineRule="auto"/>
      </w:pPr>
      <w:r>
        <w:rPr>
          <w:rFonts w:ascii="宋体" w:hAnsi="宋体" w:eastAsia="宋体"/>
          <w:sz w:val="21"/>
        </w:rPr>
        <w:t>修复前端工程化问题，统一 Node.js、依赖版本和构建环境，解决 lint 中类型约束、空语句和未使用变量等问题。</w:t>
      </w:r>
    </w:p>
    <w:p>
      <w:pPr>
        <w:pStyle w:val="ListNumber"/>
        <w:spacing w:after="80" w:line="283" w:lineRule="auto"/>
      </w:pPr>
      <w:r>
        <w:rPr>
          <w:rFonts w:ascii="宋体" w:hAnsi="宋体" w:eastAsia="宋体"/>
          <w:sz w:val="21"/>
        </w:rPr>
        <w:t>完善教师端和学生端核心路径测试，覆盖登录注册、资料上传、教案生成、智能笔记、测验、错题本、播客和教学视频等高频模块。</w:t>
      </w:r>
    </w:p>
    <w:p>
      <w:pPr>
        <w:pStyle w:val="ListNumber"/>
        <w:spacing w:after="80" w:line="283" w:lineRule="auto"/>
      </w:pPr>
      <w:r>
        <w:rPr>
          <w:rFonts w:ascii="宋体" w:hAnsi="宋体" w:eastAsia="宋体"/>
          <w:sz w:val="21"/>
        </w:rPr>
        <w:t>补充内容安全提示和教师审核机制，在生成结果页增加“需教师确认后使用”的明确边界。</w:t>
      </w:r>
    </w:p>
    <w:p>
      <w:pPr>
        <w:pStyle w:val="ListNumber"/>
        <w:spacing w:after="80" w:line="283" w:lineRule="auto"/>
      </w:pPr>
      <w:r>
        <w:rPr>
          <w:rFonts w:ascii="宋体" w:hAnsi="宋体" w:eastAsia="宋体"/>
          <w:sz w:val="21"/>
        </w:rPr>
        <w:t>完善部署文档和一键启动脚本，保证本地演示、公网部署和 Docker 部署路径清晰。</w:t>
      </w:r>
    </w:p>
    <w:p>
      <w:pPr>
        <w:pStyle w:val="Heading2"/>
      </w:pPr>
      <w:r>
        <w:rPr>
          <w:rFonts w:ascii="黑体" w:hAnsi="黑体" w:eastAsia="黑体"/>
          <w:b/>
          <w:color w:val="2E74B5"/>
          <w:sz w:val="28"/>
        </w:rPr>
        <w:t>4.2 中期目标（3-12个月）</w:t>
      </w:r>
    </w:p>
    <w:p>
      <w:pPr>
        <w:pStyle w:val="ListNumber"/>
        <w:spacing w:after="80" w:line="283" w:lineRule="auto"/>
      </w:pPr>
      <w:r>
        <w:rPr>
          <w:rFonts w:ascii="宋体" w:hAnsi="宋体" w:eastAsia="宋体"/>
          <w:sz w:val="21"/>
        </w:rPr>
        <w:t>建立校本资源库和课程资源标签体系，支持按学科、年级、教材版本和知识点组织资料。</w:t>
      </w:r>
    </w:p>
    <w:p>
      <w:pPr>
        <w:pStyle w:val="ListNumber"/>
        <w:spacing w:after="80" w:line="283" w:lineRule="auto"/>
      </w:pPr>
      <w:r>
        <w:rPr>
          <w:rFonts w:ascii="宋体" w:hAnsi="宋体" w:eastAsia="宋体"/>
          <w:sz w:val="21"/>
        </w:rPr>
        <w:t>扩展 LinkEdu-QA Benchmark，增加更多学科、题型和年级样本，形成可重复评测的回答质量指标。</w:t>
      </w:r>
    </w:p>
    <w:p>
      <w:pPr>
        <w:pStyle w:val="ListNumber"/>
        <w:spacing w:after="80" w:line="283" w:lineRule="auto"/>
      </w:pPr>
      <w:r>
        <w:rPr>
          <w:rFonts w:ascii="宋体" w:hAnsi="宋体" w:eastAsia="宋体"/>
          <w:sz w:val="21"/>
        </w:rPr>
        <w:t>优化错题知识点识别算法，引入更稳定的分词、知识点映射和复习推荐策略。</w:t>
      </w:r>
    </w:p>
    <w:p>
      <w:pPr>
        <w:pStyle w:val="ListNumber"/>
        <w:spacing w:after="80" w:line="283" w:lineRule="auto"/>
      </w:pPr>
      <w:r>
        <w:rPr>
          <w:rFonts w:ascii="宋体" w:hAnsi="宋体" w:eastAsia="宋体"/>
          <w:sz w:val="21"/>
        </w:rPr>
        <w:t>推进真实学校试点，收集教师备课节省时间、学生复习完成率、生成结果采纳率等数据。</w:t>
      </w:r>
    </w:p>
    <w:p>
      <w:pPr>
        <w:pStyle w:val="Heading2"/>
      </w:pPr>
      <w:r>
        <w:rPr>
          <w:rFonts w:ascii="黑体" w:hAnsi="黑体" w:eastAsia="黑体"/>
          <w:b/>
          <w:color w:val="2E74B5"/>
          <w:sz w:val="28"/>
        </w:rPr>
        <w:t>4.3 长期目标（1年以上）</w:t>
      </w:r>
    </w:p>
    <w:p>
      <w:pPr>
        <w:pStyle w:val="ListNumber"/>
        <w:spacing w:after="80" w:line="283" w:lineRule="auto"/>
      </w:pPr>
      <w:r>
        <w:rPr>
          <w:rFonts w:ascii="宋体" w:hAnsi="宋体" w:eastAsia="宋体"/>
          <w:sz w:val="21"/>
        </w:rPr>
        <w:t>形成“教师备课—课堂资源—学生学习—错题诊断—教学复盘”的完整 AI 教学闭环产品。</w:t>
      </w:r>
    </w:p>
    <w:p>
      <w:pPr>
        <w:pStyle w:val="ListNumber"/>
        <w:spacing w:after="80" w:line="283" w:lineRule="auto"/>
      </w:pPr>
      <w:r>
        <w:rPr>
          <w:rFonts w:ascii="宋体" w:hAnsi="宋体" w:eastAsia="宋体"/>
          <w:sz w:val="21"/>
        </w:rPr>
        <w:t>支持多校区、多租户和更细粒度权限管理，满足学校级部署和跨班级协作需求。</w:t>
      </w:r>
    </w:p>
    <w:p>
      <w:pPr>
        <w:pStyle w:val="ListNumber"/>
        <w:spacing w:after="80" w:line="283" w:lineRule="auto"/>
      </w:pPr>
      <w:r>
        <w:rPr>
          <w:rFonts w:ascii="宋体" w:hAnsi="宋体" w:eastAsia="宋体"/>
          <w:sz w:val="21"/>
        </w:rPr>
        <w:t>接入知识图谱、课程标准和教材知识点体系，提高生成内容的结构化程度和可解释性。</w:t>
      </w:r>
    </w:p>
    <w:p>
      <w:pPr>
        <w:pStyle w:val="ListNumber"/>
        <w:spacing w:after="80" w:line="283" w:lineRule="auto"/>
      </w:pPr>
      <w:r>
        <w:rPr>
          <w:rFonts w:ascii="宋体" w:hAnsi="宋体" w:eastAsia="宋体"/>
          <w:sz w:val="21"/>
        </w:rPr>
        <w:t>建立合规、安全、可审计的教育 AI 产品治理体系，包括数据最小化、生成内容标识、敏感词审核和模型调用审计。</w:t>
      </w:r>
    </w:p>
    <w:p>
      <w:pPr>
        <w:pStyle w:val="Heading1"/>
        <w:jc w:val="center"/>
      </w:pPr>
      <w:r>
        <w:rPr>
          <w:rFonts w:ascii="黑体" w:hAnsi="黑体" w:eastAsia="黑体"/>
          <w:b/>
          <w:color w:val="2E74B5"/>
          <w:sz w:val="32"/>
        </w:rPr>
        <w:t>5 产品技术方案</w:t>
      </w:r>
    </w:p>
    <w:p>
      <w:pPr>
        <w:pStyle w:val="Heading2"/>
      </w:pPr>
      <w:r>
        <w:rPr>
          <w:rFonts w:ascii="黑体" w:hAnsi="黑体" w:eastAsia="黑体"/>
          <w:b/>
          <w:color w:val="2E74B5"/>
          <w:sz w:val="28"/>
        </w:rPr>
        <w:t>5.1 产品体系结构</w:t>
      </w:r>
    </w:p>
    <w:p>
      <w:pPr>
        <w:spacing w:after="120" w:line="300" w:lineRule="auto"/>
        <w:ind w:firstLine="420"/>
      </w:pPr>
      <w:r>
        <w:rPr>
          <w:rFonts w:ascii="宋体" w:hAnsi="宋体" w:eastAsia="宋体"/>
          <w:sz w:val="21"/>
        </w:rPr>
        <w:t>LinkEdu 采用前后端分离和多 Agent 业务编排架构。前端负责用户认证、角色工作台、资料选择、生成参数输入、进度展示和结果渲染；后端负责账户认证、文件解析、上下文构建、模型调用、任务编排、媒体合成和结果存储；存储层由 SQLite、JSON 文件和本地 storage 目录组成。</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600"/>
        <w:gridCol w:w="3500"/>
        <w:gridCol w:w="4260"/>
      </w:tblGrid>
      <w:tr>
        <w:tc>
          <w:tcPr>
            <w:tcW w:type="dxa" w:w="1600"/>
            <w:shd w:fill="E8EEF5"/>
            <w:vAlign w:val="center"/>
          </w:tcPr>
          <w:p>
            <w:pPr>
              <w:spacing w:after="0" w:line="269" w:lineRule="auto"/>
              <w:jc w:val="center"/>
            </w:pPr>
            <w:r>
              <w:rPr>
                <w:rFonts w:ascii="宋体" w:hAnsi="宋体" w:eastAsia="宋体"/>
                <w:b/>
                <w:sz w:val="19"/>
              </w:rPr>
              <w:t>层级</w:t>
            </w:r>
          </w:p>
        </w:tc>
        <w:tc>
          <w:tcPr>
            <w:tcW w:type="dxa" w:w="3500"/>
            <w:shd w:fill="E8EEF5"/>
            <w:vAlign w:val="center"/>
          </w:tcPr>
          <w:p>
            <w:pPr>
              <w:spacing w:after="0" w:line="269" w:lineRule="auto"/>
              <w:jc w:val="center"/>
            </w:pPr>
            <w:r>
              <w:rPr>
                <w:rFonts w:ascii="宋体" w:hAnsi="宋体" w:eastAsia="宋体"/>
                <w:b/>
                <w:sz w:val="19"/>
              </w:rPr>
              <w:t>组成</w:t>
            </w:r>
          </w:p>
        </w:tc>
        <w:tc>
          <w:tcPr>
            <w:tcW w:type="dxa" w:w="4260"/>
            <w:shd w:fill="E8EEF5"/>
            <w:vAlign w:val="center"/>
          </w:tcPr>
          <w:p>
            <w:pPr>
              <w:spacing w:after="0" w:line="269" w:lineRule="auto"/>
              <w:jc w:val="center"/>
            </w:pPr>
            <w:r>
              <w:rPr>
                <w:rFonts w:ascii="宋体" w:hAnsi="宋体" w:eastAsia="宋体"/>
                <w:b/>
                <w:sz w:val="19"/>
              </w:rPr>
              <w:t>说明</w:t>
            </w:r>
          </w:p>
        </w:tc>
      </w:tr>
      <w:tr>
        <w:tc>
          <w:tcPr>
            <w:tcW w:type="dxa" w:w="1600"/>
            <w:vAlign w:val="center"/>
          </w:tcPr>
          <w:p>
            <w:pPr>
              <w:spacing w:after="0" w:line="269" w:lineRule="auto"/>
              <w:jc w:val="center"/>
            </w:pPr>
            <w:r>
              <w:rPr>
                <w:rFonts w:ascii="宋体" w:hAnsi="宋体" w:eastAsia="宋体"/>
                <w:sz w:val="19"/>
              </w:rPr>
              <w:t>表现层</w:t>
            </w:r>
          </w:p>
        </w:tc>
        <w:tc>
          <w:tcPr>
            <w:tcW w:type="dxa" w:w="3500"/>
            <w:vAlign w:val="center"/>
          </w:tcPr>
          <w:p>
            <w:pPr>
              <w:spacing w:after="0" w:line="269" w:lineRule="auto"/>
              <w:jc w:val="left"/>
            </w:pPr>
            <w:r>
              <w:rPr>
                <w:rFonts w:ascii="宋体" w:hAnsi="宋体" w:eastAsia="宋体"/>
                <w:sz w:val="19"/>
              </w:rPr>
              <w:t>Vue 3、Vite、TypeScript、教师端/学生端页面</w:t>
            </w:r>
          </w:p>
        </w:tc>
        <w:tc>
          <w:tcPr>
            <w:tcW w:type="dxa" w:w="4260"/>
            <w:vAlign w:val="center"/>
          </w:tcPr>
          <w:p>
            <w:pPr>
              <w:spacing w:after="0" w:line="269" w:lineRule="auto"/>
              <w:jc w:val="left"/>
            </w:pPr>
            <w:r>
              <w:rPr>
                <w:rFonts w:ascii="宋体" w:hAnsi="宋体" w:eastAsia="宋体"/>
                <w:sz w:val="19"/>
              </w:rPr>
              <w:t>提供首页、认证页、角色工作台、功能页面和历史记录页面。</w:t>
            </w:r>
          </w:p>
        </w:tc>
      </w:tr>
      <w:tr>
        <w:tc>
          <w:tcPr>
            <w:tcW w:type="dxa" w:w="1600"/>
            <w:vAlign w:val="center"/>
          </w:tcPr>
          <w:p>
            <w:pPr>
              <w:spacing w:after="0" w:line="269" w:lineRule="auto"/>
              <w:jc w:val="center"/>
            </w:pPr>
            <w:r>
              <w:rPr>
                <w:rFonts w:ascii="宋体" w:hAnsi="宋体" w:eastAsia="宋体"/>
                <w:sz w:val="19"/>
              </w:rPr>
              <w:t>接口层</w:t>
            </w:r>
          </w:p>
        </w:tc>
        <w:tc>
          <w:tcPr>
            <w:tcW w:type="dxa" w:w="3500"/>
            <w:vAlign w:val="center"/>
          </w:tcPr>
          <w:p>
            <w:pPr>
              <w:spacing w:after="0" w:line="269" w:lineRule="auto"/>
              <w:jc w:val="left"/>
            </w:pPr>
            <w:r>
              <w:rPr>
                <w:rFonts w:ascii="宋体" w:hAnsi="宋体" w:eastAsia="宋体"/>
                <w:sz w:val="19"/>
              </w:rPr>
              <w:t>FastAPI HTTP 接口、WebSocket 进度通道</w:t>
            </w:r>
          </w:p>
        </w:tc>
        <w:tc>
          <w:tcPr>
            <w:tcW w:type="dxa" w:w="4260"/>
            <w:vAlign w:val="center"/>
          </w:tcPr>
          <w:p>
            <w:pPr>
              <w:spacing w:after="0" w:line="269" w:lineRule="auto"/>
              <w:jc w:val="left"/>
            </w:pPr>
            <w:r>
              <w:rPr>
                <w:rFonts w:ascii="宋体" w:hAnsi="宋体" w:eastAsia="宋体"/>
                <w:sz w:val="19"/>
              </w:rPr>
              <w:t>HTTP 负责任务创建和结果读取，WebSocket 负责长耗时任务状态推送。</w:t>
            </w:r>
          </w:p>
        </w:tc>
      </w:tr>
      <w:tr>
        <w:tc>
          <w:tcPr>
            <w:tcW w:type="dxa" w:w="1600"/>
            <w:vAlign w:val="center"/>
          </w:tcPr>
          <w:p>
            <w:pPr>
              <w:spacing w:after="0" w:line="269" w:lineRule="auto"/>
              <w:jc w:val="center"/>
            </w:pPr>
            <w:r>
              <w:rPr>
                <w:rFonts w:ascii="宋体" w:hAnsi="宋体" w:eastAsia="宋体"/>
                <w:sz w:val="19"/>
              </w:rPr>
              <w:t>智能服务层</w:t>
            </w:r>
          </w:p>
        </w:tc>
        <w:tc>
          <w:tcPr>
            <w:tcW w:type="dxa" w:w="3500"/>
            <w:vAlign w:val="center"/>
          </w:tcPr>
          <w:p>
            <w:pPr>
              <w:spacing w:after="0" w:line="269" w:lineRule="auto"/>
              <w:jc w:val="left"/>
            </w:pPr>
            <w:r>
              <w:rPr>
                <w:rFonts w:ascii="宋体" w:hAnsi="宋体" w:eastAsia="宋体"/>
                <w:sz w:val="19"/>
              </w:rPr>
              <w:t>ChatAgent、SlidesAgent、PodcastAgent、TeachingVideoAgent 等</w:t>
            </w:r>
          </w:p>
        </w:tc>
        <w:tc>
          <w:tcPr>
            <w:tcW w:type="dxa" w:w="4260"/>
            <w:vAlign w:val="center"/>
          </w:tcPr>
          <w:p>
            <w:pPr>
              <w:spacing w:after="0" w:line="269" w:lineRule="auto"/>
              <w:jc w:val="left"/>
            </w:pPr>
            <w:r>
              <w:rPr>
                <w:rFonts w:ascii="宋体" w:hAnsi="宋体" w:eastAsia="宋体"/>
                <w:sz w:val="19"/>
              </w:rPr>
              <w:t>按任务拆分资料解析、提示构建、结构化生成、媒体合成和结果封装。</w:t>
            </w:r>
          </w:p>
        </w:tc>
      </w:tr>
      <w:tr>
        <w:tc>
          <w:tcPr>
            <w:tcW w:type="dxa" w:w="1600"/>
            <w:vAlign w:val="center"/>
          </w:tcPr>
          <w:p>
            <w:pPr>
              <w:spacing w:after="0" w:line="269" w:lineRule="auto"/>
              <w:jc w:val="center"/>
            </w:pPr>
            <w:r>
              <w:rPr>
                <w:rFonts w:ascii="宋体" w:hAnsi="宋体" w:eastAsia="宋体"/>
                <w:sz w:val="19"/>
              </w:rPr>
              <w:t>数据层</w:t>
            </w:r>
          </w:p>
        </w:tc>
        <w:tc>
          <w:tcPr>
            <w:tcW w:type="dxa" w:w="3500"/>
            <w:vAlign w:val="center"/>
          </w:tcPr>
          <w:p>
            <w:pPr>
              <w:spacing w:after="0" w:line="269" w:lineRule="auto"/>
              <w:jc w:val="left"/>
            </w:pPr>
            <w:r>
              <w:rPr>
                <w:rFonts w:ascii="宋体" w:hAnsi="宋体" w:eastAsia="宋体"/>
                <w:sz w:val="19"/>
              </w:rPr>
              <w:t>SQLite、JSON 文件、本地 storage 目录</w:t>
            </w:r>
          </w:p>
        </w:tc>
        <w:tc>
          <w:tcPr>
            <w:tcW w:type="dxa" w:w="4260"/>
            <w:vAlign w:val="center"/>
          </w:tcPr>
          <w:p>
            <w:pPr>
              <w:spacing w:after="0" w:line="269" w:lineRule="auto"/>
              <w:jc w:val="left"/>
            </w:pPr>
            <w:r>
              <w:rPr>
                <w:rFonts w:ascii="宋体" w:hAnsi="宋体" w:eastAsia="宋体"/>
                <w:sz w:val="19"/>
              </w:rPr>
              <w:t>账户和会话进 SQLite，半结构化生成结果进 JSON，多媒体文件进本地目录。</w:t>
            </w:r>
          </w:p>
        </w:tc>
      </w:tr>
      <w:tr>
        <w:tc>
          <w:tcPr>
            <w:tcW w:type="dxa" w:w="1600"/>
            <w:vAlign w:val="center"/>
          </w:tcPr>
          <w:p>
            <w:pPr>
              <w:spacing w:after="0" w:line="269" w:lineRule="auto"/>
              <w:jc w:val="center"/>
            </w:pPr>
            <w:r>
              <w:rPr>
                <w:rFonts w:ascii="宋体" w:hAnsi="宋体" w:eastAsia="宋体"/>
                <w:sz w:val="19"/>
              </w:rPr>
              <w:t>部署层</w:t>
            </w:r>
          </w:p>
        </w:tc>
        <w:tc>
          <w:tcPr>
            <w:tcW w:type="dxa" w:w="3500"/>
            <w:vAlign w:val="center"/>
          </w:tcPr>
          <w:p>
            <w:pPr>
              <w:spacing w:after="0" w:line="269" w:lineRule="auto"/>
              <w:jc w:val="left"/>
            </w:pPr>
            <w:r>
              <w:rPr>
                <w:rFonts w:ascii="宋体" w:hAnsi="宋体" w:eastAsia="宋体"/>
                <w:sz w:val="19"/>
              </w:rPr>
              <w:t>本地运行、公网部署、预留 Docker 方案</w:t>
            </w:r>
          </w:p>
        </w:tc>
        <w:tc>
          <w:tcPr>
            <w:tcW w:type="dxa" w:w="4260"/>
            <w:vAlign w:val="center"/>
          </w:tcPr>
          <w:p>
            <w:pPr>
              <w:spacing w:after="0" w:line="269" w:lineRule="auto"/>
              <w:jc w:val="left"/>
            </w:pPr>
            <w:r>
              <w:rPr>
                <w:rFonts w:ascii="宋体" w:hAnsi="宋体" w:eastAsia="宋体"/>
                <w:sz w:val="19"/>
              </w:rPr>
              <w:t>适配课程设计展示、实验室演示和学校小规模试点。</w:t>
            </w:r>
          </w:p>
        </w:tc>
      </w:tr>
    </w:tbl>
    <w:p>
      <w:pPr>
        <w:spacing w:before="40" w:after="160"/>
        <w:jc w:val="center"/>
      </w:pPr>
      <w:r>
        <w:rPr>
          <w:rFonts w:ascii="宋体" w:hAnsi="宋体" w:eastAsia="宋体"/>
          <w:color w:val="595959"/>
          <w:sz w:val="18"/>
        </w:rPr>
        <w:t>表 5-1 LinkEdu 产品体系结构</w:t>
      </w:r>
    </w:p>
    <w:p>
      <w:pPr>
        <w:spacing w:after="120" w:line="300" w:lineRule="auto"/>
        <w:ind w:firstLine="420"/>
      </w:pPr>
      <w:r>
        <w:rPr>
          <w:rFonts w:ascii="宋体" w:hAnsi="宋体" w:eastAsia="宋体"/>
          <w:sz w:val="21"/>
        </w:rPr>
        <w:t>系统设计的关键取舍是“轻量可用优先”。SQLite 与 JSON 的组合虽然不适合一开始就承载大规模并发，但非常适合原型验证和小规模试点；多 Agent 的设计则让复杂任务可以分阶段管理，便于后续替换模型服务、TTS 服务或视频生成服务。</w:t>
      </w:r>
    </w:p>
    <w:p>
      <w:pPr>
        <w:pStyle w:val="Heading2"/>
      </w:pPr>
      <w:r>
        <w:rPr>
          <w:rFonts w:ascii="黑体" w:hAnsi="黑体" w:eastAsia="黑体"/>
          <w:b/>
          <w:color w:val="2E74B5"/>
          <w:sz w:val="28"/>
        </w:rPr>
        <w:t>5.2 关键技术</w:t>
      </w:r>
    </w:p>
    <w:p>
      <w:pPr>
        <w:pStyle w:val="Heading3"/>
      </w:pPr>
      <w:r>
        <w:rPr>
          <w:rFonts w:ascii="黑体" w:hAnsi="黑体" w:eastAsia="黑体"/>
          <w:b/>
          <w:color w:val="1F4E79"/>
          <w:sz w:val="24"/>
        </w:rPr>
        <w:t>5.2.1 多源教学资料融合与上下文增强</w:t>
      </w:r>
    </w:p>
    <w:p>
      <w:pPr>
        <w:spacing w:after="120" w:line="300" w:lineRule="auto"/>
        <w:ind w:firstLine="420"/>
      </w:pPr>
      <w:r>
        <w:rPr>
          <w:rFonts w:ascii="宋体" w:hAnsi="宋体" w:eastAsia="宋体"/>
          <w:sz w:val="21"/>
        </w:rPr>
        <w:t>系统支持 PDF、DOCX、Markdown、TXT 等资料上传，上传后提取文本、保存元数据，并在教案、笔记、测验、播客和教学视频等任务中按需选择资料。上下文构建采用“分文件截断 + 来源标识 + 顺序拼接”的策略，在控制模型输入长度的同时保留教材和讲义中的关键内容。这一思路与 RAG 技术路线一致，即通过外部知识补充模型参数记忆，提升知识密集任务的相关性和事实性</w:t>
      </w:r>
      <w:r>
        <w:rPr>
          <w:rFonts w:ascii="宋体" w:hAnsi="宋体" w:eastAsia="宋体"/>
          <w:color w:val="1F4E79"/>
          <w:sz w:val="21"/>
        </w:rPr>
        <w:t>[4]</w:t>
      </w:r>
      <w:r>
        <w:rPr>
          <w:rFonts w:ascii="宋体" w:hAnsi="宋体" w:eastAsia="宋体"/>
          <w:sz w:val="21"/>
        </w:rPr>
        <w:t>。</w:t>
      </w:r>
    </w:p>
    <w:p>
      <w:pPr>
        <w:pStyle w:val="Heading3"/>
      </w:pPr>
      <w:r>
        <w:rPr>
          <w:rFonts w:ascii="黑体" w:hAnsi="黑体" w:eastAsia="黑体"/>
          <w:b/>
          <w:color w:val="1F4E79"/>
          <w:sz w:val="24"/>
        </w:rPr>
        <w:t>5.2.2 双角色自适应提示与数据隔离</w:t>
      </w:r>
    </w:p>
    <w:p>
      <w:pPr>
        <w:spacing w:after="120" w:line="300" w:lineRule="auto"/>
        <w:ind w:firstLine="420"/>
      </w:pPr>
      <w:r>
        <w:rPr>
          <w:rFonts w:ascii="宋体" w:hAnsi="宋体" w:eastAsia="宋体"/>
          <w:sz w:val="21"/>
        </w:rPr>
        <w:t>教师端和学生端不仅界面不同，提示策略和数据隔离也不同。教师端强调教学目标、课堂组织、重难点和作业设计；学生端强调知识理解、复习、错题归因和自测反馈。系统通过 user_id、scope、owner_id 和 owner_username 等字段隔离会话、资料和生成结果，避免教师资料与学生学习记录混杂。</w:t>
      </w:r>
    </w:p>
    <w:p>
      <w:pPr>
        <w:pStyle w:val="Heading3"/>
      </w:pPr>
      <w:r>
        <w:rPr>
          <w:rFonts w:ascii="黑体" w:hAnsi="黑体" w:eastAsia="黑体"/>
          <w:b/>
          <w:color w:val="1F4E79"/>
          <w:sz w:val="24"/>
        </w:rPr>
        <w:t>5.2.3 多 Agent 协同与多模态任务流水线</w:t>
      </w:r>
    </w:p>
    <w:p>
      <w:pPr>
        <w:spacing w:after="120" w:line="300" w:lineRule="auto"/>
        <w:ind w:firstLine="420"/>
      </w:pPr>
      <w:r>
        <w:rPr>
          <w:rFonts w:ascii="宋体" w:hAnsi="宋体" w:eastAsia="宋体"/>
          <w:sz w:val="21"/>
        </w:rPr>
        <w:t>对于教学幻灯片、AI 播客和教学视频等复杂任务，系统采用“资料输入—Agent 规划—分阶段生成—媒体合成—结果回传”的流水线。SlidesAgent 先生成逐页大纲再生成配图，PodcastAgent 生成脚本后调用 TTS 并用 ffmpeg 合成音频，TeachingVideoAgent 生成讲解脚本后结合文生视频和配音模块完成音视频合成。长耗时任务通过 WebSocket 推送进度，降低用户等待的不确定感。</w:t>
      </w:r>
    </w:p>
    <w:p>
      <w:pPr>
        <w:pStyle w:val="Heading3"/>
      </w:pPr>
      <w:r>
        <w:rPr>
          <w:rFonts w:ascii="黑体" w:hAnsi="黑体" w:eastAsia="黑体"/>
          <w:b/>
          <w:color w:val="1F4E79"/>
          <w:sz w:val="24"/>
        </w:rPr>
        <w:t>5.2.4 错题行为数据与薄弱知识点识别</w:t>
      </w:r>
    </w:p>
    <w:p>
      <w:pPr>
        <w:spacing w:after="120" w:line="300" w:lineRule="auto"/>
        <w:ind w:firstLine="420"/>
      </w:pPr>
      <w:r>
        <w:rPr>
          <w:rFonts w:ascii="宋体" w:hAnsi="宋体" w:eastAsia="宋体"/>
          <w:sz w:val="21"/>
        </w:rPr>
        <w:t>学生端通过测验、错题本和学习记录汇形成“做题—统计—诊断—复习”闭环。系统从题干、提示和解析中提取知识词项，结合最近作答结果、错误次数、复习次数和时间趋势计算掌握率与薄弱知识点，帮助学生知道“错在哪里、为什么错、先复习什么”。学习分析和教育数据挖掘的价值就在于从学习过程数据中生成可行动反馈，而不是只保留静态分数。</w:t>
      </w:r>
    </w:p>
    <w:p>
      <w:pPr>
        <w:pStyle w:val="Heading3"/>
      </w:pPr>
      <w:r>
        <w:rPr>
          <w:rFonts w:ascii="黑体" w:hAnsi="黑体" w:eastAsia="黑体"/>
          <w:b/>
          <w:color w:val="1F4E79"/>
          <w:sz w:val="24"/>
        </w:rPr>
        <w:t>5.2.5 LoRA 教育领域轻量化适配</w:t>
      </w:r>
    </w:p>
    <w:p>
      <w:pPr>
        <w:spacing w:after="120" w:line="300" w:lineRule="auto"/>
        <w:ind w:firstLine="420"/>
      </w:pPr>
      <w:r>
        <w:rPr>
          <w:rFonts w:ascii="宋体" w:hAnsi="宋体" w:eastAsia="宋体"/>
          <w:sz w:val="21"/>
        </w:rPr>
        <w:t>作品报告中提出基于 LoRA 的教育领域轻量化模型适配思路。LoRA 的核心优势是冻结基础模型权重，只训练低秩适配矩阵，从而降低微调参数量和显存需求</w:t>
      </w:r>
      <w:r>
        <w:rPr>
          <w:rFonts w:ascii="宋体" w:hAnsi="宋体" w:eastAsia="宋体"/>
          <w:color w:val="1F4E79"/>
          <w:sz w:val="21"/>
        </w:rPr>
        <w:t>[5]</w:t>
      </w:r>
      <w:r>
        <w:rPr>
          <w:rFonts w:ascii="宋体" w:hAnsi="宋体" w:eastAsia="宋体"/>
          <w:sz w:val="21"/>
        </w:rPr>
        <w:t>。在 LinkEdu 中，LoRA 更适合用于知识解释、术语说明、短问答等轻量任务；对于多资料融合和长文本结构化输出，仍应优先使用主模型与资料增强链路。</w:t>
      </w:r>
    </w:p>
    <w:p>
      <w:pPr>
        <w:pStyle w:val="Heading2"/>
      </w:pPr>
      <w:r>
        <w:rPr>
          <w:rFonts w:ascii="黑体" w:hAnsi="黑体" w:eastAsia="黑体"/>
          <w:b/>
          <w:color w:val="2E74B5"/>
          <w:sz w:val="28"/>
        </w:rPr>
        <w:t>5.3 接受标准</w:t>
      </w:r>
    </w:p>
    <w:p>
      <w:pPr>
        <w:spacing w:after="120" w:line="300" w:lineRule="auto"/>
        <w:ind w:firstLine="420"/>
      </w:pPr>
      <w:r>
        <w:rPr>
          <w:rFonts w:ascii="宋体" w:hAnsi="宋体" w:eastAsia="宋体"/>
          <w:sz w:val="21"/>
        </w:rPr>
        <w:t>为保证 LinkEdu 后续试点和展示质量，建议从功能、性能、安全、可用性和教学效果五个维度设定接受标准。当前作品报告中的 LinkEdu-QA Benchmark 已包含 120 道中学数学、英语和物理题目，系统资料增强链路在该小规模评测中达到约 88% 的答案正确率、91% 的资料一致率、86% 的角色适配率和 0.88 的综合得分，可作为后续质量基线。</w:t>
      </w:r>
    </w:p>
    <w:tbl>
      <w:tblPr>
        <w:tblW w:type="dxa" w:w="9360"/>
        <w:jc w:val="center"/>
        <w:tblLook w:firstColumn="1" w:firstRow="1" w:lastColumn="0" w:lastRow="0" w:noHBand="0" w:noVBand="1" w:val="04A0"/>
        <w:tblInd w:w="120" w:type="dxa"/>
        <w:tblLayout w:type="fixed"/>
        <w:tblCellMar>
          <w:top w:w="80" w:type="dxa"/>
          <w:start w:w="120" w:type="dxa"/>
          <w:bottom w:w="80" w:type="dxa"/>
          <w:end w:w="120" w:type="dxa"/>
        </w:tblCellMa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800"/>
        <w:gridCol w:w="7560"/>
      </w:tblGrid>
      <w:tr>
        <w:tc>
          <w:tcPr>
            <w:tcW w:type="dxa" w:w="1800"/>
            <w:shd w:fill="E8EEF5"/>
            <w:vAlign w:val="center"/>
          </w:tcPr>
          <w:p>
            <w:pPr>
              <w:spacing w:after="0" w:line="269" w:lineRule="auto"/>
              <w:jc w:val="center"/>
            </w:pPr>
            <w:r>
              <w:rPr>
                <w:rFonts w:ascii="宋体" w:hAnsi="宋体" w:eastAsia="宋体"/>
                <w:b/>
                <w:sz w:val="19"/>
              </w:rPr>
              <w:t>维度</w:t>
            </w:r>
          </w:p>
        </w:tc>
        <w:tc>
          <w:tcPr>
            <w:tcW w:type="dxa" w:w="7560"/>
            <w:shd w:fill="E8EEF5"/>
            <w:vAlign w:val="center"/>
          </w:tcPr>
          <w:p>
            <w:pPr>
              <w:spacing w:after="0" w:line="269" w:lineRule="auto"/>
              <w:jc w:val="center"/>
            </w:pPr>
            <w:r>
              <w:rPr>
                <w:rFonts w:ascii="宋体" w:hAnsi="宋体" w:eastAsia="宋体"/>
                <w:b/>
                <w:sz w:val="19"/>
              </w:rPr>
              <w:t>接受标准</w:t>
            </w:r>
          </w:p>
        </w:tc>
      </w:tr>
      <w:tr>
        <w:tc>
          <w:tcPr>
            <w:tcW w:type="dxa" w:w="1800"/>
            <w:vAlign w:val="center"/>
          </w:tcPr>
          <w:p>
            <w:pPr>
              <w:spacing w:after="0" w:line="269" w:lineRule="auto"/>
              <w:jc w:val="center"/>
            </w:pPr>
            <w:r>
              <w:rPr>
                <w:rFonts w:ascii="宋体" w:hAnsi="宋体" w:eastAsia="宋体"/>
                <w:sz w:val="19"/>
              </w:rPr>
              <w:t>功能完整性</w:t>
            </w:r>
          </w:p>
        </w:tc>
        <w:tc>
          <w:tcPr>
            <w:tcW w:type="dxa" w:w="7560"/>
            <w:vAlign w:val="center"/>
          </w:tcPr>
          <w:p>
            <w:pPr>
              <w:spacing w:after="0" w:line="269" w:lineRule="auto"/>
              <w:jc w:val="left"/>
            </w:pPr>
            <w:r>
              <w:rPr>
                <w:rFonts w:ascii="宋体" w:hAnsi="宋体" w:eastAsia="宋体"/>
                <w:sz w:val="19"/>
              </w:rPr>
              <w:t>教师端和学生端核心页面可完成从资料上传、参数输入、生成、查看、下载到历史回看的闭环。</w:t>
            </w:r>
          </w:p>
        </w:tc>
      </w:tr>
      <w:tr>
        <w:tc>
          <w:tcPr>
            <w:tcW w:type="dxa" w:w="1800"/>
            <w:vAlign w:val="center"/>
          </w:tcPr>
          <w:p>
            <w:pPr>
              <w:spacing w:after="0" w:line="269" w:lineRule="auto"/>
              <w:jc w:val="center"/>
            </w:pPr>
            <w:r>
              <w:rPr>
                <w:rFonts w:ascii="宋体" w:hAnsi="宋体" w:eastAsia="宋体"/>
                <w:sz w:val="19"/>
              </w:rPr>
              <w:t>生成质量</w:t>
            </w:r>
          </w:p>
        </w:tc>
        <w:tc>
          <w:tcPr>
            <w:tcW w:type="dxa" w:w="7560"/>
            <w:vAlign w:val="center"/>
          </w:tcPr>
          <w:p>
            <w:pPr>
              <w:spacing w:after="0" w:line="269" w:lineRule="auto"/>
              <w:jc w:val="left"/>
            </w:pPr>
            <w:r>
              <w:rPr>
                <w:rFonts w:ascii="宋体" w:hAnsi="宋体" w:eastAsia="宋体"/>
                <w:sz w:val="19"/>
              </w:rPr>
              <w:t>资料增强回答在正确率、资料一致率和角色适配率上不低于当前 Benchmark 基线，并持续扩展评测集。</w:t>
            </w:r>
          </w:p>
        </w:tc>
      </w:tr>
      <w:tr>
        <w:tc>
          <w:tcPr>
            <w:tcW w:type="dxa" w:w="1800"/>
            <w:vAlign w:val="center"/>
          </w:tcPr>
          <w:p>
            <w:pPr>
              <w:spacing w:after="0" w:line="269" w:lineRule="auto"/>
              <w:jc w:val="center"/>
            </w:pPr>
            <w:r>
              <w:rPr>
                <w:rFonts w:ascii="宋体" w:hAnsi="宋体" w:eastAsia="宋体"/>
                <w:sz w:val="19"/>
              </w:rPr>
              <w:t>性能体验</w:t>
            </w:r>
          </w:p>
        </w:tc>
        <w:tc>
          <w:tcPr>
            <w:tcW w:type="dxa" w:w="7560"/>
            <w:vAlign w:val="center"/>
          </w:tcPr>
          <w:p>
            <w:pPr>
              <w:spacing w:after="0" w:line="269" w:lineRule="auto"/>
              <w:jc w:val="left"/>
            </w:pPr>
            <w:r>
              <w:rPr>
                <w:rFonts w:ascii="宋体" w:hAnsi="宋体" w:eastAsia="宋体"/>
                <w:sz w:val="19"/>
              </w:rPr>
              <w:t>轻量操作响应及时；长耗时任务必须提供阶段化进度反馈；失败时给出可理解错误提示。</w:t>
            </w:r>
          </w:p>
        </w:tc>
      </w:tr>
      <w:tr>
        <w:tc>
          <w:tcPr>
            <w:tcW w:type="dxa" w:w="1800"/>
            <w:vAlign w:val="center"/>
          </w:tcPr>
          <w:p>
            <w:pPr>
              <w:spacing w:after="0" w:line="269" w:lineRule="auto"/>
              <w:jc w:val="center"/>
            </w:pPr>
            <w:r>
              <w:rPr>
                <w:rFonts w:ascii="宋体" w:hAnsi="宋体" w:eastAsia="宋体"/>
                <w:sz w:val="19"/>
              </w:rPr>
              <w:t>数据安全</w:t>
            </w:r>
          </w:p>
        </w:tc>
        <w:tc>
          <w:tcPr>
            <w:tcW w:type="dxa" w:w="7560"/>
            <w:vAlign w:val="center"/>
          </w:tcPr>
          <w:p>
            <w:pPr>
              <w:spacing w:after="0" w:line="269" w:lineRule="auto"/>
              <w:jc w:val="left"/>
            </w:pPr>
            <w:r>
              <w:rPr>
                <w:rFonts w:ascii="宋体" w:hAnsi="宋体" w:eastAsia="宋体"/>
                <w:sz w:val="19"/>
              </w:rPr>
              <w:t>密码带盐哈希存储，会话 token 管理，资料和生成结果按用户与角色隔离，敏感信息不写入公开日志。</w:t>
            </w:r>
          </w:p>
        </w:tc>
      </w:tr>
      <w:tr>
        <w:tc>
          <w:tcPr>
            <w:tcW w:type="dxa" w:w="1800"/>
            <w:vAlign w:val="center"/>
          </w:tcPr>
          <w:p>
            <w:pPr>
              <w:spacing w:after="0" w:line="269" w:lineRule="auto"/>
              <w:jc w:val="center"/>
            </w:pPr>
            <w:r>
              <w:rPr>
                <w:rFonts w:ascii="宋体" w:hAnsi="宋体" w:eastAsia="宋体"/>
                <w:sz w:val="19"/>
              </w:rPr>
              <w:t>部署稳定性</w:t>
            </w:r>
          </w:p>
        </w:tc>
        <w:tc>
          <w:tcPr>
            <w:tcW w:type="dxa" w:w="7560"/>
            <w:vAlign w:val="center"/>
          </w:tcPr>
          <w:p>
            <w:pPr>
              <w:spacing w:after="0" w:line="269" w:lineRule="auto"/>
              <w:jc w:val="left"/>
            </w:pPr>
            <w:r>
              <w:rPr>
                <w:rFonts w:ascii="宋体" w:hAnsi="宋体" w:eastAsia="宋体"/>
                <w:sz w:val="19"/>
              </w:rPr>
              <w:t>本地运行和服务器部署文档完整，核心依赖版本明确，Docker 方案可复现。</w:t>
            </w:r>
          </w:p>
        </w:tc>
      </w:tr>
      <w:tr>
        <w:tc>
          <w:tcPr>
            <w:tcW w:type="dxa" w:w="1800"/>
            <w:vAlign w:val="center"/>
          </w:tcPr>
          <w:p>
            <w:pPr>
              <w:spacing w:after="0" w:line="269" w:lineRule="auto"/>
              <w:jc w:val="center"/>
            </w:pPr>
            <w:r>
              <w:rPr>
                <w:rFonts w:ascii="宋体" w:hAnsi="宋体" w:eastAsia="宋体"/>
                <w:sz w:val="19"/>
              </w:rPr>
              <w:t>教学可用性</w:t>
            </w:r>
          </w:p>
        </w:tc>
        <w:tc>
          <w:tcPr>
            <w:tcW w:type="dxa" w:w="7560"/>
            <w:vAlign w:val="center"/>
          </w:tcPr>
          <w:p>
            <w:pPr>
              <w:spacing w:after="0" w:line="269" w:lineRule="auto"/>
              <w:jc w:val="left"/>
            </w:pPr>
            <w:r>
              <w:rPr>
                <w:rFonts w:ascii="宋体" w:hAnsi="宋体" w:eastAsia="宋体"/>
                <w:sz w:val="19"/>
              </w:rPr>
              <w:t>生成内容需支持教师二次编辑和审核，学生端学习建议不得替代教师评价或正式诊断。</w:t>
            </w:r>
          </w:p>
        </w:tc>
      </w:tr>
    </w:tbl>
    <w:p>
      <w:pPr>
        <w:spacing w:before="40" w:after="160"/>
        <w:jc w:val="center"/>
      </w:pPr>
      <w:r>
        <w:rPr>
          <w:rFonts w:ascii="宋体" w:hAnsi="宋体" w:eastAsia="宋体"/>
          <w:color w:val="595959"/>
          <w:sz w:val="18"/>
        </w:rPr>
        <w:t>表 5-2 产品接受标准</w:t>
      </w:r>
    </w:p>
    <w:p>
      <w:pPr>
        <w:pStyle w:val="Heading1"/>
        <w:jc w:val="center"/>
      </w:pPr>
      <w:r>
        <w:rPr>
          <w:rFonts w:ascii="黑体" w:hAnsi="黑体" w:eastAsia="黑体"/>
          <w:b/>
          <w:color w:val="2E74B5"/>
          <w:sz w:val="32"/>
        </w:rPr>
        <w:t>6 调研结论与建议</w:t>
      </w:r>
    </w:p>
    <w:p>
      <w:pPr>
        <w:spacing w:after="120" w:line="300" w:lineRule="auto"/>
        <w:ind w:firstLine="420"/>
      </w:pPr>
      <w:r>
        <w:rPr>
          <w:rFonts w:ascii="宋体" w:hAnsi="宋体" w:eastAsia="宋体"/>
          <w:sz w:val="21"/>
        </w:rPr>
        <w:t>综合作品报告和公开资料调研，LinkEdu 的产品方向具有较强现实意义。教师备课效率、学生复盘质量、校本资料利用和基层学校轻量化部署都是明确存在的痛点；生成式 AI、资料增强、多 Agent 编排和多模态生成也为解决这些痛点提供了可行技术路径。当前版本已经具备核心功能闭环和展示基础，适合作为课程设计作品和小规模教育场景试点原型。</w:t>
      </w:r>
    </w:p>
    <w:p>
      <w:pPr>
        <w:spacing w:after="120" w:line="300" w:lineRule="auto"/>
        <w:ind w:firstLine="420"/>
      </w:pPr>
      <w:r>
        <w:rPr>
          <w:rFonts w:ascii="宋体" w:hAnsi="宋体" w:eastAsia="宋体"/>
          <w:sz w:val="21"/>
        </w:rPr>
        <w:t>同时，LinkEdu 后续发展应避免两个误区：一是把产品定位成“万能 AI 教育平台”，导致范围过宽、维护成本过高；二是只追求生成效果而忽视教育合规和教师审核。更合理的路径是先聚焦教师备课、学生笔记、错题诊断和多模态资源生成四个高价值场景，用真实学校资料和教师反馈持续改进，再逐步扩展多校区部署、知识图谱和学习分析能力。</w:t>
      </w:r>
    </w:p>
    <w:p>
      <w:pPr>
        <w:spacing w:after="120" w:line="300" w:lineRule="auto"/>
        <w:ind w:firstLine="420"/>
      </w:pPr>
      <w:r>
        <w:rPr>
          <w:rFonts w:ascii="宋体" w:hAnsi="宋体" w:eastAsia="宋体"/>
          <w:sz w:val="21"/>
        </w:rPr>
        <w:t>建议项目组下一阶段优先完成工程稳定性修复、自动化测试、内容安全提示、评测集扩展和试点反馈收集。只要能在“资料贴合度、角色适配、轻量部署和可复盘学习记录”上形成稳定优势，LinkEdu 就有机会从参赛作品进一步成长为面向基层教学场景的实用型 AI 教育工具。</w:t>
      </w:r>
    </w:p>
    <w:p>
      <w:pPr>
        <w:pStyle w:val="Heading1"/>
        <w:jc w:val="center"/>
      </w:pPr>
      <w:r>
        <w:rPr>
          <w:rFonts w:ascii="黑体" w:hAnsi="黑体" w:eastAsia="黑体"/>
          <w:b/>
          <w:color w:val="2E74B5"/>
          <w:sz w:val="32"/>
        </w:rPr>
        <w:t>参考资料</w:t>
      </w:r>
    </w:p>
    <w:p>
      <w:pPr>
        <w:spacing w:after="80"/>
        <w:ind w:left="360" w:hanging="360"/>
      </w:pPr>
      <w:r>
        <w:rPr>
          <w:rFonts w:ascii="宋体" w:hAnsi="宋体" w:eastAsia="宋体"/>
          <w:sz w:val="19"/>
        </w:rPr>
        <w:t>[1] 国家互联网信息办公室等：《生成式人工智能服务管理暂行办法》，2023-07-13，https://www.cac.gov.cn/2023-07/13/c_1690898327029107.htm</w:t>
      </w:r>
    </w:p>
    <w:p>
      <w:pPr>
        <w:spacing w:after="80"/>
        <w:ind w:left="360" w:hanging="360"/>
      </w:pPr>
      <w:r>
        <w:rPr>
          <w:rFonts w:ascii="宋体" w:hAnsi="宋体" w:eastAsia="宋体"/>
          <w:sz w:val="19"/>
        </w:rPr>
        <w:t>[2] UNESCO. Guidance for generative AI in education and research. 2023-09-07, last updated 2026-01-16. https://www.unesco.org/en/articles/guidance-generative-ai-education-and-research</w:t>
      </w:r>
    </w:p>
    <w:p>
      <w:pPr>
        <w:spacing w:after="80"/>
        <w:ind w:left="360" w:hanging="360"/>
      </w:pPr>
      <w:r>
        <w:rPr>
          <w:rFonts w:ascii="宋体" w:hAnsi="宋体" w:eastAsia="宋体"/>
          <w:sz w:val="19"/>
        </w:rPr>
        <w:t>[3] Maslej, N. et al. Artificial Intelligence Index Report 2025. arXiv:2504.07139. https://arxiv.org/abs/2504.07139</w:t>
      </w:r>
    </w:p>
    <w:p>
      <w:pPr>
        <w:spacing w:after="80"/>
        <w:ind w:left="360" w:hanging="360"/>
      </w:pPr>
      <w:r>
        <w:rPr>
          <w:rFonts w:ascii="宋体" w:hAnsi="宋体" w:eastAsia="宋体"/>
          <w:sz w:val="19"/>
        </w:rPr>
        <w:t>[4] Lewis, P. et al. Retrieval-Augmented Generation for Knowledge-Intensive NLP Tasks. arXiv:2005.11401. https://arxiv.org/abs/2005.11401</w:t>
      </w:r>
    </w:p>
    <w:p>
      <w:pPr>
        <w:spacing w:after="80"/>
        <w:ind w:left="360" w:hanging="360"/>
      </w:pPr>
      <w:r>
        <w:rPr>
          <w:rFonts w:ascii="宋体" w:hAnsi="宋体" w:eastAsia="宋体"/>
          <w:sz w:val="19"/>
        </w:rPr>
        <w:t>[5] Hu, E. J. et al. LoRA: Low-Rank Adaptation of Large Language Models. arXiv:2106.09685. https://arxiv.org/abs/2106.09685</w:t>
      </w:r>
    </w:p>
    <w:p>
      <w:pPr>
        <w:spacing w:after="80"/>
        <w:ind w:left="360" w:hanging="360"/>
      </w:pPr>
      <w:r>
        <w:rPr>
          <w:rFonts w:ascii="宋体" w:hAnsi="宋体" w:eastAsia="宋体"/>
          <w:sz w:val="19"/>
        </w:rPr>
        <w:t>[6] 国家智慧教育公共服务平台，https://www.smartedu.cn/</w:t>
      </w:r>
    </w:p>
    <w:p>
      <w:pPr>
        <w:spacing w:after="80"/>
        <w:ind w:left="360" w:hanging="360"/>
      </w:pPr>
      <w:r>
        <w:rPr>
          <w:rFonts w:ascii="宋体" w:hAnsi="宋体" w:eastAsia="宋体"/>
          <w:sz w:val="19"/>
        </w:rPr>
        <w:t>[7] 《中国大学生计算机设计大赛软件开发类作品文档简要要求：LinkEdu——师生协同的 AI 全场景教育平台》，作品编号 2026001333，V1.0，2026-04-19。</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95959"/>
        <w:sz w:val="18"/>
      </w:rPr>
      <w:t xml:space="preserve">第 </w:t>
    </w:r>
    <w:r>
      <w:rPr>
        <w:color w:val="595959"/>
        <w:sz w:val="18"/>
      </w:rPr>
      <w:fldChar w:fldCharType="begin"/>
      <w:instrText xml:space="preserve">PAGE</w:instrText>
      <w:fldChar w:fldCharType="end"/>
    </w:r>
    <w:r>
      <w:rPr>
        <w:rFonts w:ascii="宋体" w:hAnsi="宋体" w:eastAsia="宋体"/>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