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000000"/>
          <w:sz w:val="46"/>
        </w:rPr>
        <w:t>项目架构会议记录</w:t>
      </w:r>
    </w:p>
    <w:p>
      <w:pPr>
        <w:spacing w:after="280"/>
      </w:pPr>
      <w:r>
        <w:rPr>
          <w:rFonts w:ascii="Microsoft YaHei" w:hAnsi="Microsoft YaHei" w:eastAsia="Microsoft YaHei"/>
          <w:color w:val="595959"/>
          <w:sz w:val="26"/>
        </w:rPr>
        <w:t>修订版：同步当前 EduMind 技术栈与部署架构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会议主题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EduMind 架构口径修订与文档一致性确认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会议时间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2026-06-30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修订日期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2026-07-02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参会人员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第七组项目成员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会议目标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统一当前前端、后端、存储、异步任务与部署边界描述，修正文档审核中发现的技术栈偏差。</w:t>
            </w:r>
          </w:p>
        </w:tc>
      </w:tr>
    </w:tbl>
    <w:p/>
    <w:p>
      <w:pPr>
        <w:pStyle w:val="Heading1"/>
      </w:pPr>
      <w:r>
        <w:t>一、会议背景</w:t>
      </w:r>
    </w:p>
    <w:p>
      <w:r>
        <w:rPr>
          <w:rFonts w:ascii="Microsoft YaHei" w:hAnsi="Microsoft YaHei" w:eastAsia="Microsoft YaHei"/>
          <w:sz w:val="21"/>
        </w:rPr>
        <w:t>本次会议基于文档一致性审核结果，对原项目架构会议记录中与当前实现不一致的技术表述进行修订。当前 EduMind 已形成以 api-gateway 为统一入口、按业务边界拆分服务、通过共享基础设施支撑 RAG 与生成任务的部署方案。</w:t>
      </w:r>
    </w:p>
    <w:p>
      <w:pPr>
        <w:pStyle w:val="Heading1"/>
      </w:pPr>
      <w:r>
        <w:t>二、当前架构结论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前端统一采用 React + Vite + TypeScript 技术栈，构建后由前端容器通过 80 端口对外提供服务。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后端以 Python FastAPI + Uvicorn 为主，api-gateway 作为统一入口，默认对外端口为 5000。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服务按身份认证、学习内容、资源文件、AI 核心、媒体生成、教学内容等边界拆分，并保留本地单体兼容模式。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运行时数据底座采用 PostgreSQL JSONB/KV、pgvector、Redis 和 MinIO/S3，对象文件、向量检索、事件总线和任务租约分别由对应基础设施承担。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生成类任务通过 Celery/Redis generation-worker 执行，前端通过 WebSocket 或 SSE 接收进度与结果。</w:t>
      </w:r>
    </w:p>
    <w:p>
      <w:pPr>
        <w:pStyle w:val="Heading1"/>
      </w:pPr>
      <w:r>
        <w:t>三、服务边界与端口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700"/>
        <w:gridCol w:w="5700"/>
        <w:gridCol w:w="19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服务</w:t>
            </w:r>
          </w:p>
        </w:tc>
        <w:tc>
          <w:tcPr>
            <w:tcW w:type="dxa" w:w="57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端口/入口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api-gateway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统一API入口、健康检查、转发各业务服务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5000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identity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账号、会话、鉴权与令牌解析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5101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learning-content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学习对话、智能笔记、测验、闪卡、考试、辩论与学习计划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5102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asset-library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文件上传、文件元数据、解析入口、RAG索引状态与音频转写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5103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media-generation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口语练习、播客生成、外部媒体服务与Bilibili检索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5104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teaching-content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教案、课件、试卷和教学视频生成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5105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ai-core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统一LLM与Embedding访问能力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5106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generation-worker</w:t>
            </w:r>
          </w:p>
        </w:tc>
        <w:tc>
          <w:tcPr>
            <w:tcW w:type="dxa" w:w="5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异步生成任务执行、重试与并发控制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后台工作进程</w:t>
            </w:r>
          </w:p>
        </w:tc>
      </w:tr>
    </w:tbl>
    <w:p/>
    <w:p>
      <w:pPr>
        <w:pStyle w:val="Heading1"/>
      </w:pPr>
      <w:r>
        <w:t>四、基础设施与数据流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900"/>
        <w:gridCol w:w="2300"/>
        <w:gridCol w:w="51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当前选型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会议确认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关系与键值数据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PostgreSQL JSONB/KV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作为运行时默认数据持久化方案，支撑用户、会话、聊天和业务元数据。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向量检索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pgvector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承载文件切片向量索引，支撑多文件RAG上下文召回。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事件与任务协调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Redis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用于事件总线、任务租约、Celery broker/result backend 等运行时能力。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对象文件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MinIO/S3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用于上传文件、生成音视频、课件等对象存储；本地文件仅作为开发适配或缓存。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异步任务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Celery/Redis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学习内容、媒体生成和教学内容等耗时生成任务交由后台worker处理。</w:t>
            </w:r>
          </w:p>
        </w:tc>
      </w:tr>
    </w:tbl>
    <w:p/>
    <w:p>
      <w:pPr>
        <w:pStyle w:val="Heading1"/>
      </w:pPr>
      <w:r>
        <w:t>五、修订点确认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200"/>
        <w:gridCol w:w="5600"/>
        <w:gridCol w:w="15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审核问题</w:t>
            </w:r>
          </w:p>
        </w:tc>
        <w:tc>
          <w:tcPr>
            <w:tcW w:type="dxa" w:w="5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修订后的会议记录口径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运行时存储表述过旧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明确运行时默认使用 PostgreSQL、pgvector、Redis、MinIO/S3；旧版轻量存储表述不再作为当前架构描述。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已修正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前端技术栈描述不一致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明确前端为 React + Vite + TypeScript，部署通过 frontend 容器与 Nginx 对外服务。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已修正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缺少关键技术栈关键词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正文已覆盖 React、pgvector、MinIO、Celery、api-gateway、FastAPI、PostgreSQL、Redis。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已修正</w:t>
            </w:r>
          </w:p>
        </w:tc>
      </w:tr>
    </w:tbl>
    <w:p/>
    <w:p>
      <w:pPr>
        <w:pStyle w:val="Heading1"/>
      </w:pPr>
      <w:r>
        <w:t>六、会议决议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后续所有架构类文档以本修订版会议记录的技术口径为准。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涉及部署、数据库、RAG、异步生成和前端架构的文档，应同步更新为当前代码与 docker-compose.yml 中的实际实现。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旧版会议记录保留作历史归档，不再作为当前架构依据。</w:t>
      </w:r>
    </w:p>
    <w:p>
      <w:pPr>
        <w:pStyle w:val="ListBullet"/>
        <w:spacing w:after="80"/>
        <w:ind w:left="720" w:hanging="360"/>
      </w:pPr>
      <w:r>
        <w:rPr>
          <w:rFonts w:ascii="Microsoft YaHei" w:hAnsi="Microsoft YaHei" w:eastAsia="Microsoft YaHei"/>
          <w:sz w:val="21"/>
        </w:rPr>
        <w:t>若后续继续调整服务边界或基础设施，应在会议记录、设计说明书、架构图和接口文档中同步维护。</w:t>
      </w:r>
    </w:p>
    <w:p>
      <w:pPr>
        <w:pStyle w:val="Heading1"/>
      </w:pPr>
      <w:r>
        <w:t>七、后续行动项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300"/>
        <w:gridCol w:w="1800"/>
        <w:gridCol w:w="4260"/>
      </w:tblGrid>
      <w:tr>
        <w:tc>
          <w:tcPr>
            <w:tcW w:type="dxa" w:w="33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行动项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完成标准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更新架构图中的服务边界与数据底座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架构文档负责人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图中出现 api-gateway、pgvector、MinIO、Celery 等当前组件。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复核需求说明书中的技术栈章节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需求文档负责人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前端、后端、存储、部署描述与当前项目一致。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复核数据库设计说明书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数据库文档负责人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数据库对象与PostgreSQL/pgvector运行时口径一致。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建立文档更新检查清单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项目组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每次功能或技术栈调整后同步检查文档。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7"/>
      </w:rPr>
      <w:t>第七组 | 修订版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7"/>
      </w:rPr>
      <w:t>EduMind 项目架构会议记录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