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60"/>
        <w:jc w:val="center"/>
      </w:pPr>
      <w:r>
        <w:rPr>
          <w:rFonts w:ascii="Noto Sans CJK SC" w:hAnsi="Noto Sans CJK SC" w:eastAsia="Noto Sans CJK SC" w:cs="Noto Sans CJK SC"/>
          <w:b/>
          <w:color w:val="1A4786"/>
          <w:sz w:val="48"/>
        </w:rPr>
        <w:t>邻里</w:t>
      </w:r>
    </w:p>
    <w:p>
      <w:pPr>
        <w:spacing w:after="400"/>
        <w:jc w:val="center"/>
      </w:pPr>
      <w:r>
        <w:rPr>
          <w:rFonts w:ascii="Noto Sans CJK SC" w:hAnsi="Noto Sans CJK SC" w:eastAsia="Noto Sans CJK SC" w:cs="Noto Sans CJK SC"/>
          <w:b w:val="0"/>
          <w:color w:val="5A5A5A"/>
          <w:sz w:val="28"/>
        </w:rPr>
        <w:t>《HarmonyOS 移动端工程设计文档》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2381"/>
            <w:shd w:fill="2F75B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21"/>
              </w:rPr>
              <w:t>文档属性</w:t>
            </w:r>
          </w:p>
        </w:tc>
        <w:tc>
          <w:tcPr>
            <w:tcW w:type="dxa" w:w="4819"/>
            <w:shd w:fill="F8FB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移动端工程设计文档</w:t>
            </w:r>
          </w:p>
        </w:tc>
      </w:tr>
      <w:tr>
        <w:tc>
          <w:tcPr>
            <w:tcW w:type="dxa" w:w="2381"/>
            <w:shd w:fill="2F75B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4819"/>
            <w:shd w:fill="F8FB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V1.0</w:t>
            </w:r>
          </w:p>
        </w:tc>
      </w:tr>
      <w:tr>
        <w:tc>
          <w:tcPr>
            <w:tcW w:type="dxa" w:w="2381"/>
            <w:shd w:fill="2F75B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21"/>
              </w:rPr>
              <w:t>项目名称</w:t>
            </w:r>
          </w:p>
        </w:tc>
        <w:tc>
          <w:tcPr>
            <w:tcW w:type="dxa" w:w="4819"/>
            <w:shd w:fill="F8FB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邻里</w:t>
            </w:r>
          </w:p>
        </w:tc>
      </w:tr>
      <w:tr>
        <w:tc>
          <w:tcPr>
            <w:tcW w:type="dxa" w:w="2381"/>
            <w:shd w:fill="2F75B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21"/>
              </w:rPr>
              <w:t>适用范围</w:t>
            </w:r>
          </w:p>
        </w:tc>
        <w:tc>
          <w:tcPr>
            <w:tcW w:type="dxa" w:w="4819"/>
            <w:shd w:fill="F8FB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HarmonyOS 移动端工程设计文档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 w:cs="Noto Sans CJK SC"/>
          <w:b w:val="0"/>
          <w:color w:val="787878"/>
          <w:sz w:val="21"/>
        </w:rPr>
        <w:t>上海市计算机应用能力大赛项目配套技术文档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1E4F8E"/>
          <w:sz w:val="32"/>
        </w:rPr>
        <w:t>1 文档目标与建设范围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本文档用于约束“邻里”HarmonyOS 移动端工程的产品边界、技术选型、模块职责、接口依赖、权限模型和交付标准，作为前端移动开发、测试联调和后续版本扩展的统一依据。移动端承担居民与服务人员的一线交互职责，目标是把线下社区服务流程沉淀为可创建、可确认、可追踪、可留痕的数字化闭环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在系统分工上，移动端聚焦“采集、确认、执行、反馈”四类动作，不承担复杂经营分析和外部大模型推理。凡涉及复杂语义理解、工单自动审核、运营报表归纳等能力，统一交由后端和 Web 管理系统处理；移动端仅调用 HarmonyOS 官方开放能力完成本地语音、图像、扫码、位置和消息触达。该设计与 HarmonyOS 开放能力边界保持一致，也能降低移动端包体和调试复杂度[1-6]。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本工程文档默认移动端采用单一代码基线、统一设计语言与统一接口规范；居民角色与服务人员角色共用一个应用工程，通过账号角色切换与动态菜单控制呈现差异化界面。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F3F8FE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1E4F8E"/>
                <w:sz w:val="21"/>
              </w:rPr>
              <w:t>工程边界：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移动端不直接调用 Qwen 或其他外部大模型 API，不设计端侧自研模型训练与端侧大模型推理。</w:t>
            </w:r>
          </w:p>
        </w:tc>
      </w:tr>
    </w:tbl>
    <w:p/>
    <w:p>
      <w:pPr>
        <w:pStyle w:val="Heading1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1E4F8E"/>
          <w:sz w:val="32"/>
        </w:rPr>
        <w:t>2 业务角色、核心场景与信息架构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2.1 角色定义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474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角色</w:t>
            </w:r>
          </w:p>
        </w:tc>
        <w:tc>
          <w:tcPr>
            <w:tcW w:type="dxa" w:w="4535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职责</w:t>
            </w:r>
          </w:p>
        </w:tc>
        <w:tc>
          <w:tcPr>
            <w:tcW w:type="dxa" w:w="2948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主要界面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居民用户</w:t>
            </w:r>
          </w:p>
        </w:tc>
        <w:tc>
          <w:tcPr>
            <w:tcW w:type="dxa" w:w="45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发起家政、维修、陪诊、代办等服务需求；查看工单进度；确认结果；评价与售后</w:t>
            </w:r>
          </w:p>
        </w:tc>
        <w:tc>
          <w:tcPr>
            <w:tcW w:type="dxa" w:w="294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首页、工单创建、我的工单、消息中心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服务人员</w:t>
            </w:r>
          </w:p>
        </w:tc>
        <w:tc>
          <w:tcPr>
            <w:tcW w:type="dxa" w:w="45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接收待办、查看路线、到场签到、上传图片、回填服务结果</w:t>
            </w:r>
          </w:p>
        </w:tc>
        <w:tc>
          <w:tcPr>
            <w:tcW w:type="dxa" w:w="294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待办工单、签到页、服务回执页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站点协同用户</w:t>
            </w:r>
          </w:p>
        </w:tc>
        <w:tc>
          <w:tcPr>
            <w:tcW w:type="dxa" w:w="45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在特殊场景下代老人创建工单、辅助完善资料</w:t>
            </w:r>
          </w:p>
        </w:tc>
        <w:tc>
          <w:tcPr>
            <w:tcW w:type="dxa" w:w="294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代录工单页、快速扫码页</w:t>
            </w:r>
          </w:p>
        </w:tc>
      </w:tr>
    </w:tbl>
    <w:p/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2.2 核心场景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场景一为居民自助下单。用户通过首页快速入口或语音引导进入工单创建页，选择服务类别、预约时间、地址与补充说明，必要时通过拍照上传票据、设备铭牌或现场图片，系统再把表单提交到后端。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场景二为服务人员履约执行。服务人员在待办列表查看当日任务，到达现场后通过定位校验和服务码签到确认到场，随后上传现场照片、补充备注、回填完成情况与异常信息。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场景三为站点协同代录。针对老年人或弱数字能力用户，站点工作人员可代替其创建工单，通过扫码识别家庭服务码、拍照识别纸质单据、语音转写需求说明，以减少人工录入成本。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2.3 信息架构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587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一级入口</w:t>
            </w:r>
          </w:p>
        </w:tc>
        <w:tc>
          <w:tcPr>
            <w:tcW w:type="dxa" w:w="3288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二级页面</w:t>
            </w:r>
          </w:p>
        </w:tc>
        <w:tc>
          <w:tcPr>
            <w:tcW w:type="dxa" w:w="3969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描述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首页</w:t>
            </w:r>
          </w:p>
        </w:tc>
        <w:tc>
          <w:tcPr>
            <w:tcW w:type="dxa" w:w="328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快捷下单、服务分类、最近工单、社区公告</w:t>
            </w:r>
          </w:p>
        </w:tc>
        <w:tc>
          <w:tcPr>
            <w:tcW w:type="dxa" w:w="396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居民侧核心入口，强调低学习成本与高频触达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待办</w:t>
            </w:r>
          </w:p>
        </w:tc>
        <w:tc>
          <w:tcPr>
            <w:tcW w:type="dxa" w:w="328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待接单、进行中、待回填、已完成</w:t>
            </w:r>
          </w:p>
        </w:tc>
        <w:tc>
          <w:tcPr>
            <w:tcW w:type="dxa" w:w="396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服务人员任务执行主入口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消息</w:t>
            </w:r>
          </w:p>
        </w:tc>
        <w:tc>
          <w:tcPr>
            <w:tcW w:type="dxa" w:w="328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系统通知、预约提醒、异常提醒</w:t>
            </w:r>
          </w:p>
        </w:tc>
        <w:tc>
          <w:tcPr>
            <w:tcW w:type="dxa" w:w="396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结合 Push Kit 完成状态触达[6]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我的</w:t>
            </w:r>
          </w:p>
        </w:tc>
        <w:tc>
          <w:tcPr>
            <w:tcW w:type="dxa" w:w="328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账户、隐私、设置、帮助反馈</w:t>
            </w:r>
          </w:p>
        </w:tc>
        <w:tc>
          <w:tcPr>
            <w:tcW w:type="dxa" w:w="396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统一账户和应用设置管理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b w:val="0"/>
          <w:color w:val="505050"/>
          <w:sz w:val="19"/>
        </w:rPr>
        <w:t>图 1  邻里移动端总体架构图（作者绘制）</w:t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1E4F8E"/>
          <w:sz w:val="32"/>
        </w:rPr>
        <w:t>3 技术基线与系统架构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移动端采用 ArkTS + ArkUI 作为主开发语言与界面框架，整体架构按“交互层—业务编排层—HarmonyOS 能力层—数据与通信层”组织。交互层面向具体页面与组件；业务编排层负责状态流转和表单逻辑；能力层统一封装 HarmonyOS 开放能力；数据与通信层负责本地缓存、附件上传与后端 API 调用。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能力层封装必须遵循适配器模式，禁止在页面组件中直接散落调用系统能力。以语音输入为例，页面只触发语音录入意图，实际的会话开启、权限校验、结果回调、失败重试与兜底文本输入都在 SpeechAdapter 中实现；视觉与扫码能力也采用同样的接入方式，以保证后续升级与替换的可控性。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网络访问只经统一 ApiClient 发起，所有请求自动注入访问令牌、请求编号、设备标识和版本号。对于需要图片上传的工单创建与回执回填流程，移动端先向后端申请上传凭证，再把原始文件或压缩文件上传到对象存储，最后以文件标识回写业务接口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3.1 HarmonyOS 开放能力使用原则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能力名称</w:t>
            </w:r>
          </w:p>
        </w:tc>
        <w:tc>
          <w:tcPr>
            <w:tcW w:type="dxa" w:w="1814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用途</w:t>
            </w:r>
          </w:p>
        </w:tc>
        <w:tc>
          <w:tcPr>
            <w:tcW w:type="dxa" w:w="4082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项目落地场景</w:t>
            </w:r>
          </w:p>
        </w:tc>
        <w:tc>
          <w:tcPr>
            <w:tcW w:type="dxa" w:w="680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引用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Core Speech Kit</w:t>
            </w:r>
          </w:p>
        </w:tc>
        <w:tc>
          <w:tcPr>
            <w:tcW w:type="dxa" w:w="181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语音输入、文本转语音播报</w:t>
            </w:r>
          </w:p>
        </w:tc>
        <w:tc>
          <w:tcPr>
            <w:tcW w:type="dxa" w:w="408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口述工单、表单朗读、完成提醒</w:t>
            </w:r>
          </w:p>
        </w:tc>
        <w:tc>
          <w:tcPr>
            <w:tcW w:type="dxa" w:w="6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[1]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Core Vision Kit</w:t>
            </w:r>
          </w:p>
        </w:tc>
        <w:tc>
          <w:tcPr>
            <w:tcW w:type="dxa" w:w="181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基础视觉识别</w:t>
            </w:r>
          </w:p>
        </w:tc>
        <w:tc>
          <w:tcPr>
            <w:tcW w:type="dxa" w:w="408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票据 OCR、图像预处理、字段抽取</w:t>
            </w:r>
          </w:p>
        </w:tc>
        <w:tc>
          <w:tcPr>
            <w:tcW w:type="dxa" w:w="6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[2]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Vision Kit</w:t>
            </w:r>
          </w:p>
        </w:tc>
        <w:tc>
          <w:tcPr>
            <w:tcW w:type="dxa" w:w="181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场景化视觉处理</w:t>
            </w:r>
          </w:p>
        </w:tc>
        <w:tc>
          <w:tcPr>
            <w:tcW w:type="dxa" w:w="408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文档扫描、结构化字段抽取</w:t>
            </w:r>
          </w:p>
        </w:tc>
        <w:tc>
          <w:tcPr>
            <w:tcW w:type="dxa" w:w="6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[3]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Scan Kit</w:t>
            </w:r>
          </w:p>
        </w:tc>
        <w:tc>
          <w:tcPr>
            <w:tcW w:type="dxa" w:w="181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统一扫码服务</w:t>
            </w:r>
          </w:p>
        </w:tc>
        <w:tc>
          <w:tcPr>
            <w:tcW w:type="dxa" w:w="408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服务码签到、设备码绑定</w:t>
            </w:r>
          </w:p>
        </w:tc>
        <w:tc>
          <w:tcPr>
            <w:tcW w:type="dxa" w:w="6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[4]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Location Kit</w:t>
            </w:r>
          </w:p>
        </w:tc>
        <w:tc>
          <w:tcPr>
            <w:tcW w:type="dxa" w:w="181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位置服务</w:t>
            </w:r>
          </w:p>
        </w:tc>
        <w:tc>
          <w:tcPr>
            <w:tcW w:type="dxa" w:w="408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到场位置校验、附近服务点推荐</w:t>
            </w:r>
          </w:p>
        </w:tc>
        <w:tc>
          <w:tcPr>
            <w:tcW w:type="dxa" w:w="6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[5]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Push Kit</w:t>
            </w:r>
          </w:p>
        </w:tc>
        <w:tc>
          <w:tcPr>
            <w:tcW w:type="dxa" w:w="181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消息触达</w:t>
            </w:r>
          </w:p>
        </w:tc>
        <w:tc>
          <w:tcPr>
            <w:tcW w:type="dxa" w:w="408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预约提醒、状态变化通知</w:t>
            </w:r>
          </w:p>
        </w:tc>
        <w:tc>
          <w:tcPr>
            <w:tcW w:type="dxa" w:w="6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[6]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F3F8FE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1E4F8E"/>
                <w:sz w:val="21"/>
              </w:rPr>
              <w:t>能力封装原则：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所有系统能力统一封装在 infrastructure/kit 目录，不允许页面层直接依赖底层能力对象。</w:t>
            </w:r>
          </w:p>
        </w:tc>
      </w:tr>
    </w:tbl>
    <w:p/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3.2 智能录单流程设计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智能录单并不等价于外部大模型交互，而是指依靠移动端本地能力降低录单阻力。系统优先通过语音转文本、OCR、扫码、定位与自动回填完成结构化表单预填，然后由用户进行确认和补充，最终形成可落地的标准工单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该流程的重点不在于移动端“理解复杂语义”，而在于尽可能减少用户手工输入字段数量。例如用户拍摄一张维修单据后，系统只需将订单号、地址或设备信息识别出来填入草稿表单；若识别置信度不足，则直接保留为附件，不在移动端做高风险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b w:val="0"/>
          <w:color w:val="505050"/>
          <w:sz w:val="19"/>
        </w:rPr>
        <w:t>图 2  移动端智能录单流程图（作者绘制）</w:t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1E4F8E"/>
          <w:sz w:val="32"/>
        </w:rPr>
        <w:t>4 功能模块详细设计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928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模块</w:t>
            </w:r>
          </w:p>
        </w:tc>
        <w:tc>
          <w:tcPr>
            <w:tcW w:type="dxa" w:w="3175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子功能</w:t>
            </w:r>
          </w:p>
        </w:tc>
        <w:tc>
          <w:tcPr>
            <w:tcW w:type="dxa" w:w="3515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实现重点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账户与角色模块</w:t>
            </w:r>
          </w:p>
        </w:tc>
        <w:tc>
          <w:tcPr>
            <w:tcW w:type="dxa" w:w="317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登录、令牌刷新、角色切换、隐私协议确认</w:t>
            </w:r>
          </w:p>
        </w:tc>
        <w:tc>
          <w:tcPr>
            <w:tcW w:type="dxa" w:w="351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启动时完成用户态初始化，并决定菜单形态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首页与服务分类模块</w:t>
            </w:r>
          </w:p>
        </w:tc>
        <w:tc>
          <w:tcPr>
            <w:tcW w:type="dxa" w:w="317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展示高频入口、最近工单、社区公告</w:t>
            </w:r>
          </w:p>
        </w:tc>
        <w:tc>
          <w:tcPr>
            <w:tcW w:type="dxa" w:w="351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居民角色的首屏入口，强调大按钮与低学习成本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工单创建模块</w:t>
            </w:r>
          </w:p>
        </w:tc>
        <w:tc>
          <w:tcPr>
            <w:tcW w:type="dxa" w:w="317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多模态输入、表单校验、附件上传、提交</w:t>
            </w:r>
          </w:p>
        </w:tc>
        <w:tc>
          <w:tcPr>
            <w:tcW w:type="dxa" w:w="351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支持文字、语音、图片、扫码辅助创建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工单执行模块</w:t>
            </w:r>
          </w:p>
        </w:tc>
        <w:tc>
          <w:tcPr>
            <w:tcW w:type="dxa" w:w="317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待办列表、签到、定位校验、照片回填</w:t>
            </w:r>
          </w:p>
        </w:tc>
        <w:tc>
          <w:tcPr>
            <w:tcW w:type="dxa" w:w="351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服务人员侧的主流程模块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消息模块</w:t>
            </w:r>
          </w:p>
        </w:tc>
        <w:tc>
          <w:tcPr>
            <w:tcW w:type="dxa" w:w="317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站内消息、预约提醒、失败提示、异常提示</w:t>
            </w:r>
          </w:p>
        </w:tc>
        <w:tc>
          <w:tcPr>
            <w:tcW w:type="dxa" w:w="351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结合 Push Kit 与本地通知完成消息闭环[6]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设置与帮助模块</w:t>
            </w:r>
          </w:p>
        </w:tc>
        <w:tc>
          <w:tcPr>
            <w:tcW w:type="dxa" w:w="317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隐私设置、缓存管理、版本更新提示、问题反馈</w:t>
            </w:r>
          </w:p>
        </w:tc>
        <w:tc>
          <w:tcPr>
            <w:tcW w:type="dxa" w:w="351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负责账号侧与系统侧的非业务功能</w:t>
            </w:r>
          </w:p>
        </w:tc>
      </w:tr>
    </w:tbl>
    <w:p/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4.1 工单创建模块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工单创建页由服务类型区、预约区、地址区、补充说明区、附件区和提交区六个区域组成。页面顶部显示当前角色与返回路径，中间为滚动表单，底部固定“保存草稿”和“提交工单”两个主操作按钮。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表单提交前执行三层校验：第一层为前端必填校验；第二层为字段格式校验，如手机号、时间范围、地址长度；第三层为业务规则校验，例如预约时间不得早于当前时间，服务类别必须与当前账号角色可发起的工单类型相匹配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工单草稿支持离线保存。若网络不可用，系统将草稿写入本地缓存并标记为 pending_upload；当网络恢复后，同步子系统按时间顺序重试上传，重试过程中必须展示可见状态并允许用户手工取消。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4.2 工单执行模块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服务人员待办页按工单状态分组展示任务，默认优先展示当日进行中的工单。卡片信息至少包含服务类型、预约时间、服务对象、地址摘要、状态标签和快速入口按钮。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到场签到由三步组成：读取当前工单、获取设备定位、扫描家庭服务码或手工确认服务对象。签到成功后写入到场时间和坐标，并在详情页生成现场留痕记录。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完成回填页必须支持上传至少三类信息：现场图片、结果描述、异常标签。若工单发生未完成或二次上门，系统允许创建 follow_up 状态并把当前记录保留为一次执行轨迹。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4.3 消息模块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消息模块分为系统消息、业务提醒和异常告警三类。系统消息由应用版本、协议变更等通用信息构成；业务提醒包含预约成功、改期、服务完成等状态变化；异常告警用于提示上传失败、签到失败、网络中断等高优先级问题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消息详情页仅展示移动端可处理的信息，不承担运营分析逻辑。涉及需要管理人员复核的 AI 审核结果，仅展示“已提交后台审核，请在 Web 管理端查看”，避免在移动端形成多套审核入口。</w:t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1E4F8E"/>
          <w:sz w:val="32"/>
        </w:rPr>
        <w:t>5 权限、隐私与安全设计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2268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权限/能力</w:t>
            </w:r>
          </w:p>
        </w:tc>
        <w:tc>
          <w:tcPr>
            <w:tcW w:type="dxa" w:w="2381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用途</w:t>
            </w:r>
          </w:p>
        </w:tc>
        <w:tc>
          <w:tcPr>
            <w:tcW w:type="dxa" w:w="3969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最小化申请策略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ohos.permission.MICROPHONE</w:t>
            </w:r>
          </w:p>
        </w:tc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语音输入</w:t>
            </w:r>
          </w:p>
        </w:tc>
        <w:tc>
          <w:tcPr>
            <w:tcW w:type="dxa" w:w="396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仅在开启语音录单或语音备注时申请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ohos.permission.CAMERA</w:t>
            </w:r>
          </w:p>
        </w:tc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拍照、扫码、票据识别</w:t>
            </w:r>
          </w:p>
        </w:tc>
        <w:tc>
          <w:tcPr>
            <w:tcW w:type="dxa" w:w="396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进入拍照上传、扫码签到页面前申请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ohos.permission.INTERNET</w:t>
            </w:r>
          </w:p>
        </w:tc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接口访问、文件上传</w:t>
            </w:r>
          </w:p>
        </w:tc>
        <w:tc>
          <w:tcPr>
            <w:tcW w:type="dxa" w:w="396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应用启动即声明，网络调用统一经 ApiClient 发起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位置权限</w:t>
            </w:r>
          </w:p>
        </w:tc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到场校验、附近服务点推荐</w:t>
            </w:r>
          </w:p>
        </w:tc>
        <w:tc>
          <w:tcPr>
            <w:tcW w:type="dxa" w:w="396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仅在签到与定位推荐场景申请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通知相关权限</w:t>
            </w:r>
          </w:p>
        </w:tc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状态提醒与预约提醒</w:t>
            </w:r>
          </w:p>
        </w:tc>
        <w:tc>
          <w:tcPr>
            <w:tcW w:type="dxa" w:w="396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在消息模块首次启用时引导开通</w:t>
            </w:r>
          </w:p>
        </w:tc>
      </w:tr>
    </w:tbl>
    <w:p/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权限申请采用“声明 + 场景触发 + 拒绝兜底”三段式策略。所有敏感权限均延迟到具体业务场景触发，不允许在冷启动时一次性批量申请；若用户拒绝授权，页面需给出降级方案，例如语音改为文本输入、扫码改为手工输入、定位改为手工选择地址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本地仅缓存业务运行所需的最少数据，包括访问令牌、用户基本资料、草稿表单、最近查看记录和必要的配置项。令牌信息必须通过安全存储方案保存，不得写入明文日志；附件上传完成后，本地临时压缩文件应及时清理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所有上传图片在客户端先执行尺寸压缩和元数据清洗，避免将不必要的拍摄信息直接上传。对于涉及老人家庭地址、电话等个人信息的页面，默认启用脱敏显示策略。</w:t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1E4F8E"/>
          <w:sz w:val="32"/>
        </w:rPr>
        <w:t>6 数据设计与接口依赖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6.1 本地数据对象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2041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本地对象</w:t>
            </w:r>
          </w:p>
        </w:tc>
        <w:tc>
          <w:tcPr>
            <w:tcW w:type="dxa" w:w="2551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用途</w:t>
            </w:r>
          </w:p>
        </w:tc>
        <w:tc>
          <w:tcPr>
            <w:tcW w:type="dxa" w:w="4025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关键字段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user_profile</w:t>
            </w:r>
          </w:p>
        </w:tc>
        <w:tc>
          <w:tcPr>
            <w:tcW w:type="dxa" w:w="255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当前登录用户基础信息与角色</w:t>
            </w:r>
          </w:p>
        </w:tc>
        <w:tc>
          <w:tcPr>
            <w:tcW w:type="dxa" w:w="402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userId、role、tokenExpireAt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work_order_draft</w:t>
            </w:r>
          </w:p>
        </w:tc>
        <w:tc>
          <w:tcPr>
            <w:tcW w:type="dxa" w:w="255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离线工单草稿</w:t>
            </w:r>
          </w:p>
        </w:tc>
        <w:tc>
          <w:tcPr>
            <w:tcW w:type="dxa" w:w="402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draftId、payload、attachments、syncStatus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message_cache</w:t>
            </w:r>
          </w:p>
        </w:tc>
        <w:tc>
          <w:tcPr>
            <w:tcW w:type="dxa" w:w="255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消息列表与已读状态</w:t>
            </w:r>
          </w:p>
        </w:tc>
        <w:tc>
          <w:tcPr>
            <w:tcW w:type="dxa" w:w="402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messageId、type、readFlag、createdAt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app_config</w:t>
            </w:r>
          </w:p>
        </w:tc>
        <w:tc>
          <w:tcPr>
            <w:tcW w:type="dxa" w:w="255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接口地址、版本标识、本地开关</w:t>
            </w:r>
          </w:p>
        </w:tc>
        <w:tc>
          <w:tcPr>
            <w:tcW w:type="dxa" w:w="402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apiBaseUrl、buildNo、featureFlags</w:t>
            </w:r>
          </w:p>
        </w:tc>
      </w:tr>
    </w:tbl>
    <w:p/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6.2 后端接口依赖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方法</w:t>
            </w:r>
          </w:p>
        </w:tc>
        <w:tc>
          <w:tcPr>
            <w:tcW w:type="dxa" w:w="2948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路径</w:t>
            </w:r>
          </w:p>
        </w:tc>
        <w:tc>
          <w:tcPr>
            <w:tcW w:type="dxa" w:w="3685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说明</w:t>
            </w:r>
          </w:p>
        </w:tc>
        <w:tc>
          <w:tcPr>
            <w:tcW w:type="dxa" w:w="1304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支持离线队列</w:t>
            </w:r>
          </w:p>
        </w:tc>
      </w:tr>
      <w:tr>
        <w:tc>
          <w:tcPr>
            <w:tcW w:type="dxa" w:w="90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POST</w:t>
            </w:r>
          </w:p>
        </w:tc>
        <w:tc>
          <w:tcPr>
            <w:tcW w:type="dxa" w:w="294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/api/v1/auth/login</w:t>
            </w:r>
          </w:p>
        </w:tc>
        <w:tc>
          <w:tcPr>
            <w:tcW w:type="dxa" w:w="368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账号登录并获取访问令牌</w:t>
            </w:r>
          </w:p>
        </w:tc>
        <w:tc>
          <w:tcPr>
            <w:tcW w:type="dxa" w:w="130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否</w:t>
            </w:r>
          </w:p>
        </w:tc>
      </w:tr>
      <w:tr>
        <w:tc>
          <w:tcPr>
            <w:tcW w:type="dxa" w:w="90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GET</w:t>
            </w:r>
          </w:p>
        </w:tc>
        <w:tc>
          <w:tcPr>
            <w:tcW w:type="dxa" w:w="294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/api/v1/me</w:t>
            </w:r>
          </w:p>
        </w:tc>
        <w:tc>
          <w:tcPr>
            <w:tcW w:type="dxa" w:w="368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获取当前用户资料与角色配置</w:t>
            </w:r>
          </w:p>
        </w:tc>
        <w:tc>
          <w:tcPr>
            <w:tcW w:type="dxa" w:w="130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否</w:t>
            </w:r>
          </w:p>
        </w:tc>
      </w:tr>
      <w:tr>
        <w:tc>
          <w:tcPr>
            <w:tcW w:type="dxa" w:w="90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POST</w:t>
            </w:r>
          </w:p>
        </w:tc>
        <w:tc>
          <w:tcPr>
            <w:tcW w:type="dxa" w:w="294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/api/v1/work-orders</w:t>
            </w:r>
          </w:p>
        </w:tc>
        <w:tc>
          <w:tcPr>
            <w:tcW w:type="dxa" w:w="368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创建工单</w:t>
            </w:r>
          </w:p>
        </w:tc>
        <w:tc>
          <w:tcPr>
            <w:tcW w:type="dxa" w:w="130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90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GET</w:t>
            </w:r>
          </w:p>
        </w:tc>
        <w:tc>
          <w:tcPr>
            <w:tcW w:type="dxa" w:w="294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/api/v1/work-orders</w:t>
            </w:r>
          </w:p>
        </w:tc>
        <w:tc>
          <w:tcPr>
            <w:tcW w:type="dxa" w:w="368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分页获取工单列表</w:t>
            </w:r>
          </w:p>
        </w:tc>
        <w:tc>
          <w:tcPr>
            <w:tcW w:type="dxa" w:w="130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否</w:t>
            </w:r>
          </w:p>
        </w:tc>
      </w:tr>
      <w:tr>
        <w:tc>
          <w:tcPr>
            <w:tcW w:type="dxa" w:w="90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GET</w:t>
            </w:r>
          </w:p>
        </w:tc>
        <w:tc>
          <w:tcPr>
            <w:tcW w:type="dxa" w:w="294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/api/v1/work-orders/{id}</w:t>
            </w:r>
          </w:p>
        </w:tc>
        <w:tc>
          <w:tcPr>
            <w:tcW w:type="dxa" w:w="368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获取工单详情</w:t>
            </w:r>
          </w:p>
        </w:tc>
        <w:tc>
          <w:tcPr>
            <w:tcW w:type="dxa" w:w="130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否</w:t>
            </w:r>
          </w:p>
        </w:tc>
      </w:tr>
      <w:tr>
        <w:tc>
          <w:tcPr>
            <w:tcW w:type="dxa" w:w="90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POST</w:t>
            </w:r>
          </w:p>
        </w:tc>
        <w:tc>
          <w:tcPr>
            <w:tcW w:type="dxa" w:w="294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/api/v1/work-orders/{id}/check-in</w:t>
            </w:r>
          </w:p>
        </w:tc>
        <w:tc>
          <w:tcPr>
            <w:tcW w:type="dxa" w:w="368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到场签到</w:t>
            </w:r>
          </w:p>
        </w:tc>
        <w:tc>
          <w:tcPr>
            <w:tcW w:type="dxa" w:w="130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90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POST</w:t>
            </w:r>
          </w:p>
        </w:tc>
        <w:tc>
          <w:tcPr>
            <w:tcW w:type="dxa" w:w="294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/api/v1/work-orders/{id}/complete</w:t>
            </w:r>
          </w:p>
        </w:tc>
        <w:tc>
          <w:tcPr>
            <w:tcW w:type="dxa" w:w="368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提交服务结果</w:t>
            </w:r>
          </w:p>
        </w:tc>
        <w:tc>
          <w:tcPr>
            <w:tcW w:type="dxa" w:w="130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90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POST</w:t>
            </w:r>
          </w:p>
        </w:tc>
        <w:tc>
          <w:tcPr>
            <w:tcW w:type="dxa" w:w="294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/api/v1/files/presign</w:t>
            </w:r>
          </w:p>
        </w:tc>
        <w:tc>
          <w:tcPr>
            <w:tcW w:type="dxa" w:w="368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申请对象存储上传凭证</w:t>
            </w:r>
          </w:p>
        </w:tc>
        <w:tc>
          <w:tcPr>
            <w:tcW w:type="dxa" w:w="130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否</w:t>
            </w:r>
          </w:p>
        </w:tc>
      </w:tr>
      <w:tr>
        <w:tc>
          <w:tcPr>
            <w:tcW w:type="dxa" w:w="90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GET</w:t>
            </w:r>
          </w:p>
        </w:tc>
        <w:tc>
          <w:tcPr>
            <w:tcW w:type="dxa" w:w="294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/api/v1/messages</w:t>
            </w:r>
          </w:p>
        </w:tc>
        <w:tc>
          <w:tcPr>
            <w:tcW w:type="dxa" w:w="368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获取消息列表</w:t>
            </w:r>
          </w:p>
        </w:tc>
        <w:tc>
          <w:tcPr>
            <w:tcW w:type="dxa" w:w="130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否</w:t>
            </w:r>
          </w:p>
        </w:tc>
      </w:tr>
    </w:tbl>
    <w:p/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接口调用统一采用 JSON 结构，响应体建议固定为 code、message、data、requestId 四个顶级字段。移动端不得自行拼接多套返回格式，以免增加页面分支复杂度。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所有写接口都应支持 requestId 透传和幂等键扩展。对签到、工单提交和完成回填等关键动作，移动端必须在本地保留最近一次提交状态与 requestId，以避免网络抖动导致重复写入。</w:t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1E4F8E"/>
          <w:sz w:val="32"/>
        </w:rPr>
        <w:t>7 交互规范、构建发布与测试策略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7.1 界面与交互规范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界面视觉采用浅底色、深色文本、单一强调蓝的设计系统。首页与关键操作页优先使用大按钮、分段表单和强提示标题，不使用复杂隐藏交互；服务人员模式下强调高对比状态标签与单手操作可达性。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所有高风险操作必须采用二次确认，包括提交工单、删除草稿、确认完成与异常关闭。确认弹窗的主按钮文本必须明确写出动作结果，禁止仅使用“确定”“提交”等模糊文案。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为适配老年用户和弱数字能力用户，居民视图应支持更大字号模式、语音播报辅助和简化表单布局。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7.2 构建与发布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871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事项</w:t>
            </w:r>
          </w:p>
        </w:tc>
        <w:tc>
          <w:tcPr>
            <w:tcW w:type="dxa" w:w="3118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内容</w:t>
            </w:r>
          </w:p>
        </w:tc>
        <w:tc>
          <w:tcPr>
            <w:tcW w:type="dxa" w:w="2835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要求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开发环境</w:t>
            </w:r>
          </w:p>
        </w:tc>
        <w:tc>
          <w:tcPr>
            <w:tcW w:type="dxa" w:w="311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DevEco Studio + HarmonyOS SDK + Git</w:t>
            </w:r>
          </w:p>
        </w:tc>
        <w:tc>
          <w:tcPr>
            <w:tcW w:type="dxa" w:w="28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与团队统一 SDK 版本保持一致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构建产物</w:t>
            </w:r>
          </w:p>
        </w:tc>
        <w:tc>
          <w:tcPr>
            <w:tcW w:type="dxa" w:w="311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HAP/HSP</w:t>
            </w:r>
          </w:p>
        </w:tc>
        <w:tc>
          <w:tcPr>
            <w:tcW w:type="dxa" w:w="28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按 release 与 debug 双通道输出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配置管理</w:t>
            </w:r>
          </w:p>
        </w:tc>
        <w:tc>
          <w:tcPr>
            <w:tcW w:type="dxa" w:w="311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.env / app.json5 / module.json5</w:t>
            </w:r>
          </w:p>
        </w:tc>
        <w:tc>
          <w:tcPr>
            <w:tcW w:type="dxa" w:w="28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区分开发、测试、生产环境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发布要求</w:t>
            </w:r>
          </w:p>
        </w:tc>
        <w:tc>
          <w:tcPr>
            <w:tcW w:type="dxa" w:w="311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版本号、隐私协议、权限说明、图标资源</w:t>
            </w:r>
          </w:p>
        </w:tc>
        <w:tc>
          <w:tcPr>
            <w:tcW w:type="dxa" w:w="28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上架与比赛演示使用同一基线</w:t>
            </w:r>
          </w:p>
        </w:tc>
      </w:tr>
    </w:tbl>
    <w:p/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7.3 测试策略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701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测试层级</w:t>
            </w:r>
          </w:p>
        </w:tc>
        <w:tc>
          <w:tcPr>
            <w:tcW w:type="dxa" w:w="3685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重点范围</w:t>
            </w:r>
          </w:p>
        </w:tc>
        <w:tc>
          <w:tcPr>
            <w:tcW w:type="dxa" w:w="2438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目标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单元测试</w:t>
            </w:r>
          </w:p>
        </w:tc>
        <w:tc>
          <w:tcPr>
            <w:tcW w:type="dxa" w:w="368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表单校验、状态管理、能力封装适配器</w:t>
            </w:r>
          </w:p>
        </w:tc>
        <w:tc>
          <w:tcPr>
            <w:tcW w:type="dxa" w:w="243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保证核心逻辑可回归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集成测试</w:t>
            </w:r>
          </w:p>
        </w:tc>
        <w:tc>
          <w:tcPr>
            <w:tcW w:type="dxa" w:w="368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接口联调、对象存储上传、消息同步</w:t>
            </w:r>
          </w:p>
        </w:tc>
        <w:tc>
          <w:tcPr>
            <w:tcW w:type="dxa" w:w="243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验证移动端与后端协同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真机场景测试</w:t>
            </w:r>
          </w:p>
        </w:tc>
        <w:tc>
          <w:tcPr>
            <w:tcW w:type="dxa" w:w="368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拍照、扫码、定位、推送</w:t>
            </w:r>
          </w:p>
        </w:tc>
        <w:tc>
          <w:tcPr>
            <w:tcW w:type="dxa" w:w="243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覆盖权限拒绝、弱网、后台切换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可用性测试</w:t>
            </w:r>
          </w:p>
        </w:tc>
        <w:tc>
          <w:tcPr>
            <w:tcW w:type="dxa" w:w="368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老年用户表单填写、服务人员签到路径</w:t>
            </w:r>
          </w:p>
        </w:tc>
        <w:tc>
          <w:tcPr>
            <w:tcW w:type="dxa" w:w="243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关注步骤数与错误率</w:t>
            </w:r>
          </w:p>
        </w:tc>
      </w:tr>
    </w:tbl>
    <w:p/>
    <w:p>
      <w:pPr>
        <w:pStyle w:val="Heading1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1E4F8E"/>
          <w:sz w:val="32"/>
        </w:rPr>
        <w:t>8 风险与后续扩展接口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移动端最大的实现风险并非页面数量，而是系统能力接入的一致性。如果语音、视觉、扫码、定位分别由不同页面自行接入，将在权限、异常码、状态恢复和日志追踪上迅速失控，因此本工程强制以统一适配层管理所有系统能力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第二类风险来自弱网与高频上传场景。工单附件、现场照片和回执图片可能在户外弱网环境下提交失败，因此必须保留离线草稿、上传重试和可见失败状态，避免产生“用户以为成功、后端实际丢失”的数据错觉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后续版本可在不改变当前架构的前提下扩展服务卡片、地图推荐和更细粒度的履约留痕能力，但仍应保持移动端只做本地能力调用、复杂智能由后端统一编排的总原则。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参考资料</w:t>
      </w:r>
    </w:p>
    <w:p>
      <w:pPr>
        <w:spacing w:after="80"/>
        <w:ind w:left="0" w:hanging="397"/>
      </w:pPr>
      <w:r>
        <w:rPr>
          <w:rFonts w:ascii="Noto Sans CJK SC" w:hAnsi="Noto Sans CJK SC" w:eastAsia="Noto Sans CJK SC" w:cs="Noto Sans CJK SC"/>
          <w:b w:val="0"/>
          <w:sz w:val="20"/>
        </w:rPr>
        <w:t>[1] 华为开发者联盟. Core Speech Kit（基础语音服务）[EB/OL].</w:t>
      </w:r>
    </w:p>
    <w:p>
      <w:pPr>
        <w:spacing w:after="80"/>
        <w:ind w:left="0" w:hanging="397"/>
      </w:pPr>
      <w:r>
        <w:rPr>
          <w:rFonts w:ascii="Noto Sans CJK SC" w:hAnsi="Noto Sans CJK SC" w:eastAsia="Noto Sans CJK SC" w:cs="Noto Sans CJK SC"/>
          <w:b w:val="0"/>
          <w:sz w:val="20"/>
        </w:rPr>
        <w:t>[2] 华为开发者联盟. Core Vision Kit（基础视觉服务）[EB/OL].</w:t>
      </w:r>
    </w:p>
    <w:p>
      <w:pPr>
        <w:spacing w:after="80"/>
        <w:ind w:left="0" w:hanging="397"/>
      </w:pPr>
      <w:r>
        <w:rPr>
          <w:rFonts w:ascii="Noto Sans CJK SC" w:hAnsi="Noto Sans CJK SC" w:eastAsia="Noto Sans CJK SC" w:cs="Noto Sans CJK SC"/>
          <w:b w:val="0"/>
          <w:sz w:val="20"/>
        </w:rPr>
        <w:t>[3] 华为开发者联盟. Vision Kit（场景化视觉服务）[EB/OL].</w:t>
      </w:r>
    </w:p>
    <w:p>
      <w:pPr>
        <w:spacing w:after="80"/>
        <w:ind w:left="0" w:hanging="397"/>
      </w:pPr>
      <w:r>
        <w:rPr>
          <w:rFonts w:ascii="Noto Sans CJK SC" w:hAnsi="Noto Sans CJK SC" w:eastAsia="Noto Sans CJK SC" w:cs="Noto Sans CJK SC"/>
          <w:b w:val="0"/>
          <w:sz w:val="20"/>
        </w:rPr>
        <w:t>[4] 华为开发者联盟. Scan Kit（统一扫码服务）[EB/OL].</w:t>
      </w:r>
    </w:p>
    <w:p>
      <w:pPr>
        <w:spacing w:after="80"/>
        <w:ind w:left="0" w:hanging="397"/>
      </w:pPr>
      <w:r>
        <w:rPr>
          <w:rFonts w:ascii="Noto Sans CJK SC" w:hAnsi="Noto Sans CJK SC" w:eastAsia="Noto Sans CJK SC" w:cs="Noto Sans CJK SC"/>
          <w:b w:val="0"/>
          <w:sz w:val="20"/>
        </w:rPr>
        <w:t>[5] 华为开发者联盟. Location Kit（位置服务）[EB/OL].</w:t>
      </w:r>
    </w:p>
    <w:p>
      <w:pPr>
        <w:spacing w:after="80"/>
        <w:ind w:left="0" w:hanging="397"/>
      </w:pPr>
      <w:r>
        <w:rPr>
          <w:rFonts w:ascii="Noto Sans CJK SC" w:hAnsi="Noto Sans CJK SC" w:eastAsia="Noto Sans CJK SC" w:cs="Noto Sans CJK SC"/>
          <w:b w:val="0"/>
          <w:sz w:val="20"/>
        </w:rPr>
        <w:t>[6] 华为开发者联盟. Push Kit推送服务[EB/OL].</w:t>
      </w:r>
    </w:p>
    <w:sectPr w:rsidR="00FC693F" w:rsidRPr="0006063C" w:rsidSect="00034616">
      <w:footerReference w:type="default" r:id="rId9"/>
      <w:pgSz w:w="12240" w:h="15840"/>
      <w:pgMar w:top="1247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b w:val="0"/>
        <w:color w:val="787878"/>
        <w:sz w:val="17"/>
      </w:rPr>
      <w:t>邻里移动端工程设计文档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4F8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242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 w:line="288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24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80" w:line="288" w:lineRule="auto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50505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