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160"/>
        <w:jc w:val="center"/>
      </w:pPr>
      <w:r>
        <w:rPr>
          <w:rFonts w:ascii="Noto Sans CJK SC" w:hAnsi="Noto Sans CJK SC" w:eastAsia="Noto Sans CJK SC" w:cs="Noto Sans CJK SC"/>
          <w:b/>
          <w:color w:val="1A4786"/>
          <w:sz w:val="48"/>
        </w:rPr>
        <w:t>邻里</w:t>
      </w:r>
    </w:p>
    <w:p>
      <w:pPr>
        <w:spacing w:after="400"/>
        <w:jc w:val="center"/>
      </w:pPr>
      <w:r>
        <w:rPr>
          <w:rFonts w:ascii="Noto Sans CJK SC" w:hAnsi="Noto Sans CJK SC" w:eastAsia="Noto Sans CJK SC" w:cs="Noto Sans CJK SC"/>
          <w:b w:val="0"/>
          <w:color w:val="5A5A5A"/>
          <w:sz w:val="28"/>
        </w:rPr>
        <w:t>《Web 前端工程设计文档》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2381"/>
            <w:shd w:fill="2F75B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21"/>
              </w:rPr>
              <w:t>文档属性</w:t>
            </w:r>
          </w:p>
        </w:tc>
        <w:tc>
          <w:tcPr>
            <w:tcW w:type="dxa" w:w="4819"/>
            <w:shd w:fill="F8FB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Web 前端工程设计文档</w:t>
            </w:r>
          </w:p>
        </w:tc>
      </w:tr>
      <w:tr>
        <w:tc>
          <w:tcPr>
            <w:tcW w:type="dxa" w:w="2381"/>
            <w:shd w:fill="2F75B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4819"/>
            <w:shd w:fill="F8FB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V1.0</w:t>
            </w:r>
          </w:p>
        </w:tc>
      </w:tr>
      <w:tr>
        <w:tc>
          <w:tcPr>
            <w:tcW w:type="dxa" w:w="2381"/>
            <w:shd w:fill="2F75B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21"/>
              </w:rPr>
              <w:t>项目名称</w:t>
            </w:r>
          </w:p>
        </w:tc>
        <w:tc>
          <w:tcPr>
            <w:tcW w:type="dxa" w:w="4819"/>
            <w:shd w:fill="F8FB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邻里</w:t>
            </w:r>
          </w:p>
        </w:tc>
      </w:tr>
      <w:tr>
        <w:tc>
          <w:tcPr>
            <w:tcW w:type="dxa" w:w="2381"/>
            <w:shd w:fill="2F75B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21"/>
              </w:rPr>
              <w:t>适用范围</w:t>
            </w:r>
          </w:p>
        </w:tc>
        <w:tc>
          <w:tcPr>
            <w:tcW w:type="dxa" w:w="4819"/>
            <w:shd w:fill="F8FB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Web 前端工程设计文档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 w:cs="Noto Sans CJK SC"/>
          <w:b w:val="0"/>
          <w:color w:val="787878"/>
          <w:sz w:val="21"/>
        </w:rPr>
        <w:t>上海市计算机应用能力大赛项目配套技术文档</w:t>
      </w: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1E4F8E"/>
          <w:sz w:val="32"/>
        </w:rPr>
        <w:t>1 文档目标与适用范围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本文档面向“邻里”项目 Web 管理系统前端工程，给出页面边界、前端架构、状态管理、权限控制、API 对接、构建部署和测试约束。Web 前端服务对象主要为站长、调度员、运营分析人员和系统管理员，是移动端履约数据的集中管理与复核入口。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本工程只承担浏览器端交互、展示、录入和操作编排职责，不直接与 Qwen API 通信，不在浏览器中存放大模型密钥。所有 AI 相关能力均由后端统一封装为业务接口，前端只展示后端返回的摘要、分类、审核建议和统计结果。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Web 前端与后端统一部署在 Linux 服务器环境，前端构建产物由 Nginx 静态托管，并通过 /api 反向代理访问后端应用。该部署模式可以保持域名一致、认证链路简单、发布与回滚成本可控[2-4]。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fill="F3F8FE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1E4F8E"/>
                <w:sz w:val="21"/>
              </w:rPr>
              <w:t>工程边界：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浏览器端绝不直接保存 Qwen API Key；外部模型调用只能经后端服务中转。</w:t>
            </w:r>
          </w:p>
        </w:tc>
      </w:tr>
    </w:tbl>
    <w:p/>
    <w:p>
      <w:pPr>
        <w:pStyle w:val="Heading1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1E4F8E"/>
          <w:sz w:val="32"/>
        </w:rPr>
        <w:t>2 角色体系、业务目标与页面导航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282828"/>
          <w:sz w:val="27"/>
        </w:rPr>
        <w:t>2.1 角色定义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1361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角色</w:t>
            </w:r>
          </w:p>
        </w:tc>
        <w:tc>
          <w:tcPr>
            <w:tcW w:type="dxa" w:w="4082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目标</w:t>
            </w:r>
          </w:p>
        </w:tc>
        <w:tc>
          <w:tcPr>
            <w:tcW w:type="dxa" w:w="3061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高频页面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站长</w:t>
            </w:r>
          </w:p>
        </w:tc>
        <w:tc>
          <w:tcPr>
            <w:tcW w:type="dxa" w:w="408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查看本站点经营指标、处理异常工单、维护站点信息</w:t>
            </w:r>
          </w:p>
        </w:tc>
        <w:tc>
          <w:tcPr>
            <w:tcW w:type="dxa" w:w="306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驾驶舱、工单中心、人员与站点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调度员</w:t>
            </w:r>
          </w:p>
        </w:tc>
        <w:tc>
          <w:tcPr>
            <w:tcW w:type="dxa" w:w="408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分派工单、排班、调整服务人员、跟踪超时任务</w:t>
            </w:r>
          </w:p>
        </w:tc>
        <w:tc>
          <w:tcPr>
            <w:tcW w:type="dxa" w:w="306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调度中心、工单中心、人员档案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运营分析人员</w:t>
            </w:r>
          </w:p>
        </w:tc>
        <w:tc>
          <w:tcPr>
            <w:tcW w:type="dxa" w:w="408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分析服务结构、复购、履约质量和异常率</w:t>
            </w:r>
          </w:p>
        </w:tc>
        <w:tc>
          <w:tcPr>
            <w:tcW w:type="dxa" w:w="306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经营分析、AI 审核中心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系统管理员</w:t>
            </w:r>
          </w:p>
        </w:tc>
        <w:tc>
          <w:tcPr>
            <w:tcW w:type="dxa" w:w="408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维护角色、字典、模板、模型配置和通知规则</w:t>
            </w:r>
          </w:p>
        </w:tc>
        <w:tc>
          <w:tcPr>
            <w:tcW w:type="dxa" w:w="306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配置中心、系统参数页</w:t>
            </w:r>
          </w:p>
        </w:tc>
      </w:tr>
    </w:tbl>
    <w:p/>
    <w:p>
      <w:pPr>
        <w:pStyle w:val="Heading2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282828"/>
          <w:sz w:val="27"/>
        </w:rPr>
        <w:t>2.2 页面导航原则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导航设计采用“一级菜单 + 二级业务页 + 抽屉式详情”的结构。一级菜单聚焦驾驶舱、工单中心、调度中心、AI 审核中心、配置中心五大区域；二级业务页承载具体列表、图表或表单；详情查看尽量通过右侧抽屉完成，以降低页面跳转频率。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高频操作必须遵循单页完成原则。站长在工单列表中可以直接展开详情、查看附件、修改状态与补记说明；调度员在调度中心即可完成筛选、派单和班次调整，避免形成“先查列表再跳详情再回列表”的碎片化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03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_rou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 w:cs="Noto Sans CJK SC"/>
          <w:b w:val="0"/>
          <w:color w:val="505050"/>
          <w:sz w:val="19"/>
        </w:rPr>
        <w:t>图 1  Web 前端页面与导航关系图（作者绘制）</w:t>
      </w:r>
    </w:p>
    <w:p>
      <w:pPr>
        <w:pStyle w:val="Heading1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1E4F8E"/>
          <w:sz w:val="32"/>
        </w:rPr>
        <w:t>3 技术选型与总体架构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前端工程采用 Vue 3 + TypeScript + Vite 作为基础栈。Vue 3 提供组合式 API 和良好的组件拆分能力，TypeScript 用于约束接口结构、权限枚举和表单模型，Vite 用于提升本地开发热更新速度与生产构建效率；状态管理统一使用 Pinia，路由管理统一使用 Vue Router，数据图表使用 ECharts。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整体代码按 app、pages、features、components、stores、services、utils 七层组织。app 层负责启动、路由与主题；pages 层承载页面入口；features 层围绕工单、调度、分析、配置等业务域组织子模块；services 层统一封装接口请求；stores 层维护全局状态；utils 层沉淀通用工具和格式化逻辑。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前端必须遵循“展示与编排分离”的原则。页面层只负责渲染、收集用户输入和触发动作；业务规则写入 feature service 或 composable；网络调用只能由 services 层发起，禁止页面组件直接散落 axios 实例。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5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_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 w:cs="Noto Sans CJK SC"/>
          <w:b w:val="0"/>
          <w:color w:val="505050"/>
          <w:sz w:val="19"/>
        </w:rPr>
        <w:t>图 2  Web 前端总体架构图（作者绘制）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282828"/>
          <w:sz w:val="27"/>
        </w:rPr>
        <w:t>3.1 目录结构建议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1701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目录</w:t>
            </w:r>
          </w:p>
        </w:tc>
        <w:tc>
          <w:tcPr>
            <w:tcW w:type="dxa" w:w="3175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职责</w:t>
            </w:r>
          </w:p>
        </w:tc>
        <w:tc>
          <w:tcPr>
            <w:tcW w:type="dxa" w:w="3628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约束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src/app</w:t>
            </w:r>
          </w:p>
        </w:tc>
        <w:tc>
          <w:tcPr>
            <w:tcW w:type="dxa" w:w="317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应用启动、路由、权限守卫、全局样式</w:t>
            </w:r>
          </w:p>
        </w:tc>
        <w:tc>
          <w:tcPr>
            <w:tcW w:type="dxa" w:w="362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禁止承载具体业务逻辑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src/pages</w:t>
            </w:r>
          </w:p>
        </w:tc>
        <w:tc>
          <w:tcPr>
            <w:tcW w:type="dxa" w:w="317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页面级入口文件</w:t>
            </w:r>
          </w:p>
        </w:tc>
        <w:tc>
          <w:tcPr>
            <w:tcW w:type="dxa" w:w="362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每个业务页面只暴露一个入口组件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src/features</w:t>
            </w:r>
          </w:p>
        </w:tc>
        <w:tc>
          <w:tcPr>
            <w:tcW w:type="dxa" w:w="317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按业务域组织模块</w:t>
            </w:r>
          </w:p>
        </w:tc>
        <w:tc>
          <w:tcPr>
            <w:tcW w:type="dxa" w:w="362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如 work-order、dispatch、analytics、system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src/components</w:t>
            </w:r>
          </w:p>
        </w:tc>
        <w:tc>
          <w:tcPr>
            <w:tcW w:type="dxa" w:w="317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可复用 UI 组件</w:t>
            </w:r>
          </w:p>
        </w:tc>
        <w:tc>
          <w:tcPr>
            <w:tcW w:type="dxa" w:w="362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搜索区、表格、抽屉、状态标签、图表包装组件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src/stores</w:t>
            </w:r>
          </w:p>
        </w:tc>
        <w:tc>
          <w:tcPr>
            <w:tcW w:type="dxa" w:w="317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Pinia 全局状态</w:t>
            </w:r>
          </w:p>
        </w:tc>
        <w:tc>
          <w:tcPr>
            <w:tcW w:type="dxa" w:w="362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用户态、字典缓存、筛选条件、消息数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src/services</w:t>
            </w:r>
          </w:p>
        </w:tc>
        <w:tc>
          <w:tcPr>
            <w:tcW w:type="dxa" w:w="317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HTTP 客户端与接口定义</w:t>
            </w:r>
          </w:p>
        </w:tc>
        <w:tc>
          <w:tcPr>
            <w:tcW w:type="dxa" w:w="362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统一错误处理与鉴权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src/utils</w:t>
            </w:r>
          </w:p>
        </w:tc>
        <w:tc>
          <w:tcPr>
            <w:tcW w:type="dxa" w:w="317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格式化、日期、权限判断等工具</w:t>
            </w:r>
          </w:p>
        </w:tc>
        <w:tc>
          <w:tcPr>
            <w:tcW w:type="dxa" w:w="362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禁止产生网络副作用</w:t>
            </w:r>
          </w:p>
        </w:tc>
      </w:tr>
    </w:tbl>
    <w:p/>
    <w:p>
      <w:pPr>
        <w:pStyle w:val="Heading1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1E4F8E"/>
          <w:sz w:val="32"/>
        </w:rPr>
        <w:t>4 页面与模块详细设计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1587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模块</w:t>
            </w:r>
          </w:p>
        </w:tc>
        <w:tc>
          <w:tcPr>
            <w:tcW w:type="dxa" w:w="3402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核心组成</w:t>
            </w:r>
          </w:p>
        </w:tc>
        <w:tc>
          <w:tcPr>
            <w:tcW w:type="dxa" w:w="3515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设计重点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驾驶舱</w:t>
            </w:r>
          </w:p>
        </w:tc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核心指标卡、待办列表、异常预警、近期趋势图</w:t>
            </w:r>
          </w:p>
        </w:tc>
        <w:tc>
          <w:tcPr>
            <w:tcW w:type="dxa" w:w="351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支持按站点、时间、服务类型切换视角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工单中心</w:t>
            </w:r>
          </w:p>
        </w:tc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列表筛选、详情抽屉、批量操作、附件预览</w:t>
            </w:r>
          </w:p>
        </w:tc>
        <w:tc>
          <w:tcPr>
            <w:tcW w:type="dxa" w:w="351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承担日常处理主工作台角色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调度中心</w:t>
            </w:r>
          </w:p>
        </w:tc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日历视图、班次分配、人员空闲度、路线提示</w:t>
            </w:r>
          </w:p>
        </w:tc>
        <w:tc>
          <w:tcPr>
            <w:tcW w:type="dxa" w:w="351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强调排班与资源利用率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AI 审核中心</w:t>
            </w:r>
          </w:p>
        </w:tc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工单摘要、分类建议、人工复核、回写结论</w:t>
            </w:r>
          </w:p>
        </w:tc>
        <w:tc>
          <w:tcPr>
            <w:tcW w:type="dxa" w:w="351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仅展示后端生成的 AI 结果，不直接触发外部模型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经营分析</w:t>
            </w:r>
          </w:p>
        </w:tc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结构分析、复购分析、履约率、异常率、导出</w:t>
            </w:r>
          </w:p>
        </w:tc>
        <w:tc>
          <w:tcPr>
            <w:tcW w:type="dxa" w:w="351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面向站点管理和运营分析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配置中心</w:t>
            </w:r>
          </w:p>
        </w:tc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角色、菜单、字典、模板、通知规则</w:t>
            </w:r>
          </w:p>
        </w:tc>
        <w:tc>
          <w:tcPr>
            <w:tcW w:type="dxa" w:w="351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面向系统管理员</w:t>
            </w:r>
          </w:p>
        </w:tc>
      </w:tr>
    </w:tbl>
    <w:p/>
    <w:p>
      <w:pPr>
        <w:pStyle w:val="Heading2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282828"/>
          <w:sz w:val="27"/>
        </w:rPr>
        <w:t>4.1 驾驶舱设计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驾驶舱是站长与运营人员的统一首页，首屏信息必须在三秒内可读。页面顶部为站点和时间范围筛选区，中部为核心 KPI 卡片，底部为趋势图、待办清单和异常告警列表。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所有图表默认采用后端聚合后的轻量数据集，禁止在浏览器端对大量原始明细进行二次聚合，以避免首屏卡顿。对于需要下钻的图表，只在用户点击具体指标后再拉取明细接口。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282828"/>
          <w:sz w:val="27"/>
        </w:rPr>
        <w:t>4.2 工单中心设计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工单中心的核心是列表密度与操作效率。搜索区应固定在顶部，支持按状态、站点、服务类型、预约时间、服务人员等字段筛选；列表区默认展示关键字段并支持列配置；详情区采用抽屉或侧栏形式展示，避免反复路由跳转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批量处理功能必须严格受权限控制。站长可批量指派或导出，调度员可批量改派，普通运营分析角色默认只读；按钮是否显示、是否可点击和接口是否允许执行三者必须保持一致。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282828"/>
          <w:sz w:val="27"/>
        </w:rPr>
        <w:t>4.3 AI 审核中心设计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AI 审核中心用于展示后端调用 Qwen API 生成的摘要、分类建议、风险标签和推荐处理动作。前端只负责按置信度和任务类型组织展示，不自行拼装模型提示词，也不直接处理模型流式响应。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审核工作流建议分为“待复核、已通过、已驳回、需补录”四种状态。人工复核后，前端调用后端回写接口更新审核结论，并在工单详情页同步展示最终状态。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282828"/>
          <w:sz w:val="27"/>
        </w:rPr>
        <w:t>4.4 配置中心设计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配置中心包含角色权限、数据字典、通知模板和模型开关四类配置项。由于配置项会影响整站行为，所有写操作必须要求二次确认，必要时展示变更前后差异，并在提交成功后写入审计日志编号。</w:t>
      </w:r>
    </w:p>
    <w:p>
      <w:pPr>
        <w:pStyle w:val="Heading1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1E4F8E"/>
          <w:sz w:val="32"/>
        </w:rPr>
        <w:t>5 状态管理、组件体系与接口对接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282828"/>
          <w:sz w:val="27"/>
        </w:rPr>
        <w:t>5.1 Pinia 状态模型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2154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Store</w:t>
            </w:r>
          </w:p>
        </w:tc>
        <w:tc>
          <w:tcPr>
            <w:tcW w:type="dxa" w:w="3061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状态范围</w:t>
            </w:r>
          </w:p>
        </w:tc>
        <w:tc>
          <w:tcPr>
            <w:tcW w:type="dxa" w:w="3288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说明</w:t>
            </w:r>
          </w:p>
        </w:tc>
      </w:tr>
      <w:tr>
        <w:tc>
          <w:tcPr>
            <w:tcW w:type="dxa" w:w="215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useAuthStore</w:t>
            </w:r>
          </w:p>
        </w:tc>
        <w:tc>
          <w:tcPr>
            <w:tcW w:type="dxa" w:w="306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用户信息、令牌、角色、菜单</w:t>
            </w:r>
          </w:p>
        </w:tc>
        <w:tc>
          <w:tcPr>
            <w:tcW w:type="dxa" w:w="328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决定路由可见性与按钮授权</w:t>
            </w:r>
          </w:p>
        </w:tc>
      </w:tr>
      <w:tr>
        <w:tc>
          <w:tcPr>
            <w:tcW w:type="dxa" w:w="215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useDictStore</w:t>
            </w:r>
          </w:p>
        </w:tc>
        <w:tc>
          <w:tcPr>
            <w:tcW w:type="dxa" w:w="306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站点、服务类型、状态字典</w:t>
            </w:r>
          </w:p>
        </w:tc>
        <w:tc>
          <w:tcPr>
            <w:tcW w:type="dxa" w:w="328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减少重复拉取并支撑筛选项</w:t>
            </w:r>
          </w:p>
        </w:tc>
      </w:tr>
      <w:tr>
        <w:tc>
          <w:tcPr>
            <w:tcW w:type="dxa" w:w="215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useFilterStore</w:t>
            </w:r>
          </w:p>
        </w:tc>
        <w:tc>
          <w:tcPr>
            <w:tcW w:type="dxa" w:w="306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列表页筛选条件、分页与排序</w:t>
            </w:r>
          </w:p>
        </w:tc>
        <w:tc>
          <w:tcPr>
            <w:tcW w:type="dxa" w:w="328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支持页面切换返回时恢复现场</w:t>
            </w:r>
          </w:p>
        </w:tc>
      </w:tr>
      <w:tr>
        <w:tc>
          <w:tcPr>
            <w:tcW w:type="dxa" w:w="215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useAppStore</w:t>
            </w:r>
          </w:p>
        </w:tc>
        <w:tc>
          <w:tcPr>
            <w:tcW w:type="dxa" w:w="306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全局 loading、主题、消息数、面包屑</w:t>
            </w:r>
          </w:p>
        </w:tc>
        <w:tc>
          <w:tcPr>
            <w:tcW w:type="dxa" w:w="328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承载跨页面基础状态</w:t>
            </w:r>
          </w:p>
        </w:tc>
      </w:tr>
    </w:tbl>
    <w:p/>
    <w:p>
      <w:pPr>
        <w:pStyle w:val="Heading2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282828"/>
          <w:sz w:val="27"/>
        </w:rPr>
        <w:t>5.2 组件设计规范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所有表格、搜索区、详情抽屉、状态标签和图表组件都需要有统一的 props 约束和主题样式。表格组件至少支持 loading、空状态、分页、列配置和权限列；详情抽屉组件要支持主内容区、附件区、操作区三段布局。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组件职责必须单一。图表组件只负责渲染和 tooltip 格式化，不直接请求接口；搜索区组件只负责输入变化和查询事件抛出，不保存全局业务状态。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282828"/>
          <w:sz w:val="27"/>
        </w:rPr>
        <w:t>5.3 接口集成约束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2835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接口</w:t>
            </w:r>
          </w:p>
        </w:tc>
        <w:tc>
          <w:tcPr>
            <w:tcW w:type="dxa" w:w="2948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用途</w:t>
            </w:r>
          </w:p>
        </w:tc>
        <w:tc>
          <w:tcPr>
            <w:tcW w:type="dxa" w:w="2835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关键参数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GET /api/v1/dashboard/summary</w:t>
            </w:r>
          </w:p>
        </w:tc>
        <w:tc>
          <w:tcPr>
            <w:tcW w:type="dxa" w:w="294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驾驶舱指标</w:t>
            </w:r>
          </w:p>
        </w:tc>
        <w:tc>
          <w:tcPr>
            <w:tcW w:type="dxa" w:w="28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站点、时间范围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GET /api/v1/work-orders</w:t>
            </w:r>
          </w:p>
        </w:tc>
        <w:tc>
          <w:tcPr>
            <w:tcW w:type="dxa" w:w="294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工单列表</w:t>
            </w:r>
          </w:p>
        </w:tc>
        <w:tc>
          <w:tcPr>
            <w:tcW w:type="dxa" w:w="28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状态、服务类型、分页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GET /api/v1/work-orders/{id}</w:t>
            </w:r>
          </w:p>
        </w:tc>
        <w:tc>
          <w:tcPr>
            <w:tcW w:type="dxa" w:w="294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工单详情</w:t>
            </w:r>
          </w:p>
        </w:tc>
        <w:tc>
          <w:tcPr>
            <w:tcW w:type="dxa" w:w="28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工单编号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POST /api/v1/work-orders/{id}/dispatch</w:t>
            </w:r>
          </w:p>
        </w:tc>
        <w:tc>
          <w:tcPr>
            <w:tcW w:type="dxa" w:w="294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派单</w:t>
            </w:r>
          </w:p>
        </w:tc>
        <w:tc>
          <w:tcPr>
            <w:tcW w:type="dxa" w:w="28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工单编号、人员编号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GET /api/v1/ai-reviews</w:t>
            </w:r>
          </w:p>
        </w:tc>
        <w:tc>
          <w:tcPr>
            <w:tcW w:type="dxa" w:w="294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AI 审核列表</w:t>
            </w:r>
          </w:p>
        </w:tc>
        <w:tc>
          <w:tcPr>
            <w:tcW w:type="dxa" w:w="28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状态、任务类型、分页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POST /api/v1/ai-reviews/{id}/confirm</w:t>
            </w:r>
          </w:p>
        </w:tc>
        <w:tc>
          <w:tcPr>
            <w:tcW w:type="dxa" w:w="294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人工复核回写</w:t>
            </w:r>
          </w:p>
        </w:tc>
        <w:tc>
          <w:tcPr>
            <w:tcW w:type="dxa" w:w="28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审核编号、处理结果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GET /api/v1/reports/service-structure</w:t>
            </w:r>
          </w:p>
        </w:tc>
        <w:tc>
          <w:tcPr>
            <w:tcW w:type="dxa" w:w="294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经营分析图表</w:t>
            </w:r>
          </w:p>
        </w:tc>
        <w:tc>
          <w:tcPr>
            <w:tcW w:type="dxa" w:w="28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时间范围、站点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GET /api/v1/system/dicts</w:t>
            </w:r>
          </w:p>
        </w:tc>
        <w:tc>
          <w:tcPr>
            <w:tcW w:type="dxa" w:w="294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系统字典</w:t>
            </w:r>
          </w:p>
        </w:tc>
        <w:tc>
          <w:tcPr>
            <w:tcW w:type="dxa" w:w="28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字典类别</w:t>
            </w:r>
          </w:p>
        </w:tc>
      </w:tr>
    </w:tbl>
    <w:p/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前端所有接口访问必须经统一 httpClient。统一客户端负责附加 Authorization 头、处理 401/403/500 异常、透传 requestId、屏蔽重复点击和请求取消控制。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对于长时间处理任务，前端只轮询业务状态，不直接等待外部模型流式返回。特别是 AI 审核与经营分析摘要这类后端异步任务，前端应展示处理中状态和最近更新时间，而不是阻塞式等待。</w:t>
      </w:r>
    </w:p>
    <w:p>
      <w:pPr>
        <w:pStyle w:val="Heading1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1E4F8E"/>
          <w:sz w:val="32"/>
        </w:rPr>
        <w:t>6 安全控制与 Linux 部署设计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282828"/>
          <w:sz w:val="27"/>
        </w:rPr>
        <w:t>6.1 浏览器端安全策略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1474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维度</w:t>
            </w:r>
          </w:p>
        </w:tc>
        <w:tc>
          <w:tcPr>
            <w:tcW w:type="dxa" w:w="2721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策略</w:t>
            </w:r>
          </w:p>
        </w:tc>
        <w:tc>
          <w:tcPr>
            <w:tcW w:type="dxa" w:w="3969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实现要求</w:t>
            </w:r>
          </w:p>
        </w:tc>
      </w:tr>
      <w:tr>
        <w:tc>
          <w:tcPr>
            <w:tcW w:type="dxa" w:w="147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认证</w:t>
            </w:r>
          </w:p>
        </w:tc>
        <w:tc>
          <w:tcPr>
            <w:tcW w:type="dxa" w:w="272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JWT + 失效自动跳转</w:t>
            </w:r>
          </w:p>
        </w:tc>
        <w:tc>
          <w:tcPr>
            <w:tcW w:type="dxa" w:w="396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令牌只保存在受控存储，不写入 URL</w:t>
            </w:r>
          </w:p>
        </w:tc>
      </w:tr>
      <w:tr>
        <w:tc>
          <w:tcPr>
            <w:tcW w:type="dxa" w:w="147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授权</w:t>
            </w:r>
          </w:p>
        </w:tc>
        <w:tc>
          <w:tcPr>
            <w:tcW w:type="dxa" w:w="272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路由守卫 + 按钮级控制</w:t>
            </w:r>
          </w:p>
        </w:tc>
        <w:tc>
          <w:tcPr>
            <w:tcW w:type="dxa" w:w="396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页面可见与接口权限保持一致</w:t>
            </w:r>
          </w:p>
        </w:tc>
      </w:tr>
      <w:tr>
        <w:tc>
          <w:tcPr>
            <w:tcW w:type="dxa" w:w="147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输入安全</w:t>
            </w:r>
          </w:p>
        </w:tc>
        <w:tc>
          <w:tcPr>
            <w:tcW w:type="dxa" w:w="272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统一转义、白名单渲染</w:t>
            </w:r>
          </w:p>
        </w:tc>
        <w:tc>
          <w:tcPr>
            <w:tcW w:type="dxa" w:w="396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富文本和备注信息默认按纯文本处理</w:t>
            </w:r>
          </w:p>
        </w:tc>
      </w:tr>
      <w:tr>
        <w:tc>
          <w:tcPr>
            <w:tcW w:type="dxa" w:w="147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资源安全</w:t>
            </w:r>
          </w:p>
        </w:tc>
        <w:tc>
          <w:tcPr>
            <w:tcW w:type="dxa" w:w="272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对象存储访问使用短时签名 URL</w:t>
            </w:r>
          </w:p>
        </w:tc>
        <w:tc>
          <w:tcPr>
            <w:tcW w:type="dxa" w:w="396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浏览器不长期保存下载凭证</w:t>
            </w:r>
          </w:p>
        </w:tc>
      </w:tr>
      <w:tr>
        <w:tc>
          <w:tcPr>
            <w:tcW w:type="dxa" w:w="147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审计协同</w:t>
            </w:r>
          </w:p>
        </w:tc>
        <w:tc>
          <w:tcPr>
            <w:tcW w:type="dxa" w:w="272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关键写操作附带 requestId</w:t>
            </w:r>
          </w:p>
        </w:tc>
        <w:tc>
          <w:tcPr>
            <w:tcW w:type="dxa" w:w="396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便于与后端审计日志关联</w:t>
            </w:r>
          </w:p>
        </w:tc>
      </w:tr>
    </w:tbl>
    <w:p/>
    <w:p>
      <w:pPr>
        <w:pStyle w:val="Heading2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282828"/>
          <w:sz w:val="27"/>
        </w:rPr>
        <w:t>6.2 Linux 部署方式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生产环境采用 Linux 服务器统一部署 Web 前端与后端。前端工程通过 Vite 执行生产构建，输出 dist 目录；Nginx 将 dist 配置为静态资源根目录，并通过 location /api 将接口请求反向代理到后端应用。Nginx 的 proxy_pass 与 proxy_set_header 可直接承载这一模式[3]。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部署目录建议按 /opt/neighbor/web、/opt/neighbor/backend、/var/log/neighbor 三个主目录组织，其中 web 存放静态产物，backend 存放后端程序与 Python 虚拟环境，log 存放访问日志、应用日志和任务日志。环境变量文件只保存在后端目录，不下发到前端构建产物。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Web 前端的回滚策略应基于构建版本目录切换。每次发布生成带时间戳的版本目录，通过软链接 current 指向当前生效版本；Nginx reload 后即可完成静态资源切换，出现异常时快速回滚到上一版本。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1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end_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 w:cs="Noto Sans CJK SC"/>
          <w:b w:val="0"/>
          <w:color w:val="505050"/>
          <w:sz w:val="19"/>
        </w:rPr>
        <w:t>图 3  Web 前端与后端统一 Linux 部署架构图（作者绘制）</w:t>
      </w:r>
    </w:p>
    <w:p>
      <w:pPr>
        <w:pStyle w:val="Heading1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1E4F8E"/>
          <w:sz w:val="32"/>
        </w:rPr>
        <w:t>7 性能预算、测试与维护要求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1701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维度</w:t>
            </w:r>
          </w:p>
        </w:tc>
        <w:tc>
          <w:tcPr>
            <w:tcW w:type="dxa" w:w="3061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目标</w:t>
            </w:r>
          </w:p>
        </w:tc>
        <w:tc>
          <w:tcPr>
            <w:tcW w:type="dxa" w:w="3402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首屏指标</w:t>
            </w:r>
          </w:p>
        </w:tc>
        <w:tc>
          <w:tcPr>
            <w:tcW w:type="dxa" w:w="306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管理端首屏在标准办公网络下 3 秒内完成主要信息渲染</w:t>
            </w:r>
          </w:p>
        </w:tc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依赖后端返回聚合数据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列表性能</w:t>
            </w:r>
          </w:p>
        </w:tc>
        <w:tc>
          <w:tcPr>
            <w:tcW w:type="dxa" w:w="306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默认分页 20 条，支持虚拟滚动或增量加载</w:t>
            </w:r>
          </w:p>
        </w:tc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避免一次性渲染大表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图表策略</w:t>
            </w:r>
          </w:p>
        </w:tc>
        <w:tc>
          <w:tcPr>
            <w:tcW w:type="dxa" w:w="306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只展示必要维度，下钻再拉明细</w:t>
            </w:r>
          </w:p>
        </w:tc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减少浏览器端聚合压力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资源缓存</w:t>
            </w:r>
          </w:p>
        </w:tc>
        <w:tc>
          <w:tcPr>
            <w:tcW w:type="dxa" w:w="306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静态资源指纹命名 + Nginx 缓存策略</w:t>
            </w:r>
          </w:p>
        </w:tc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减少重复下载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1701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测试类型</w:t>
            </w:r>
          </w:p>
        </w:tc>
        <w:tc>
          <w:tcPr>
            <w:tcW w:type="dxa" w:w="3402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范围</w:t>
            </w:r>
          </w:p>
        </w:tc>
        <w:tc>
          <w:tcPr>
            <w:tcW w:type="dxa" w:w="3061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目标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单元测试</w:t>
            </w:r>
          </w:p>
        </w:tc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工具函数、状态管理、表单组件</w:t>
            </w:r>
          </w:p>
        </w:tc>
        <w:tc>
          <w:tcPr>
            <w:tcW w:type="dxa" w:w="306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保证核心逻辑稳定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页面级测试</w:t>
            </w:r>
          </w:p>
        </w:tc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工单中心、调度中心、AI 审核中心</w:t>
            </w:r>
          </w:p>
        </w:tc>
        <w:tc>
          <w:tcPr>
            <w:tcW w:type="dxa" w:w="306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覆盖高频主路径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接口联调测试</w:t>
            </w:r>
          </w:p>
        </w:tc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鉴权、分页、上传、异常码</w:t>
            </w:r>
          </w:p>
        </w:tc>
        <w:tc>
          <w:tcPr>
            <w:tcW w:type="dxa" w:w="306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验证前后端契约一致性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回归测试</w:t>
            </w:r>
          </w:p>
        </w:tc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多角色菜单、按钮权限、导出流程</w:t>
            </w:r>
          </w:p>
        </w:tc>
        <w:tc>
          <w:tcPr>
            <w:tcW w:type="dxa" w:w="306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避免权限回退和流程断裂</w:t>
            </w:r>
          </w:p>
        </w:tc>
      </w:tr>
    </w:tbl>
    <w:p/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前端维护重点在于三件事：一是控制页面与组件层次，避免 features 与 pages 混杂；二是保持接口契约与类型定义同步更新；三是维持权限矩阵和菜单矩阵的一致性。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对于长期演进的功能，如 AI 审核中心和经营分析页，应通过 feature flag 管控灰度启用，避免未完成模块直接暴露到正式用户菜单。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参考资料</w:t>
      </w:r>
    </w:p>
    <w:p>
      <w:pPr>
        <w:spacing w:after="80"/>
        <w:ind w:left="0" w:hanging="397"/>
      </w:pPr>
      <w:r>
        <w:rPr>
          <w:rFonts w:ascii="Noto Sans CJK SC" w:hAnsi="Noto Sans CJK SC" w:eastAsia="Noto Sans CJK SC" w:cs="Noto Sans CJK SC"/>
          <w:b w:val="0"/>
          <w:sz w:val="20"/>
        </w:rPr>
        <w:t>[1] 阿里云百炼. 千问API参考[EB/OL].</w:t>
      </w:r>
    </w:p>
    <w:p>
      <w:pPr>
        <w:spacing w:after="80"/>
        <w:ind w:left="0" w:hanging="397"/>
      </w:pPr>
      <w:r>
        <w:rPr>
          <w:rFonts w:ascii="Noto Sans CJK SC" w:hAnsi="Noto Sans CJK SC" w:eastAsia="Noto Sans CJK SC" w:cs="Noto Sans CJK SC"/>
          <w:b w:val="0"/>
          <w:sz w:val="20"/>
        </w:rPr>
        <w:t>[2] Ubuntu. Ubuntu Server documentation[EB/OL].</w:t>
      </w:r>
    </w:p>
    <w:p>
      <w:pPr>
        <w:spacing w:after="80"/>
        <w:ind w:left="0" w:hanging="397"/>
      </w:pPr>
      <w:r>
        <w:rPr>
          <w:rFonts w:ascii="Noto Sans CJK SC" w:hAnsi="Noto Sans CJK SC" w:eastAsia="Noto Sans CJK SC" w:cs="Noto Sans CJK SC"/>
          <w:b w:val="0"/>
          <w:sz w:val="20"/>
        </w:rPr>
        <w:t>[3] NGINX. Module ngx_http_proxy_module[EB/OL].</w:t>
      </w:r>
    </w:p>
    <w:p>
      <w:pPr>
        <w:spacing w:after="80"/>
        <w:ind w:left="0" w:hanging="397"/>
      </w:pPr>
      <w:r>
        <w:rPr>
          <w:rFonts w:ascii="Noto Sans CJK SC" w:hAnsi="Noto Sans CJK SC" w:eastAsia="Noto Sans CJK SC" w:cs="Noto Sans CJK SC"/>
          <w:b w:val="0"/>
          <w:sz w:val="20"/>
        </w:rPr>
        <w:t>[4] Node.js. Node.js Documentation[EB/OL].</w:t>
      </w:r>
    </w:p>
    <w:sectPr w:rsidR="00FC693F" w:rsidRPr="0006063C" w:rsidSect="00034616">
      <w:footerReference w:type="default" r:id="rId9"/>
      <w:pgSz w:w="12240" w:h="15840"/>
      <w:pgMar w:top="1247" w:right="1191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b w:val="0"/>
        <w:color w:val="787878"/>
        <w:sz w:val="17"/>
      </w:rPr>
      <w:t>邻里Web前端工程设计文档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88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4F8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 w:line="288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242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 w:line="288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242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80" w:line="288" w:lineRule="auto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50505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