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D07A3" w14:textId="77777777" w:rsidR="00966488" w:rsidRDefault="00000000">
      <w:pPr>
        <w:pStyle w:val="a3"/>
        <w:keepNext w:val="0"/>
        <w:keepLines w:val="0"/>
        <w:spacing w:after="0" w:line="240" w:lineRule="auto"/>
      </w:pPr>
      <w:bookmarkStart w:id="0" w:name="_3yx8v2o5hag" w:colFirst="0" w:colLast="0"/>
      <w:bookmarkEnd w:id="0"/>
      <w:r>
        <w:rPr>
          <w:rFonts w:ascii="Arial Unicode MS" w:eastAsia="Arial Unicode MS" w:hAnsi="Arial Unicode MS" w:cs="Arial Unicode MS"/>
        </w:rPr>
        <w:t>Coinbase + Glassnode：第三季加密貨幣市場指南</w:t>
      </w:r>
    </w:p>
    <w:p w14:paraId="04DABC2E" w14:textId="77777777" w:rsidR="00966488" w:rsidRDefault="00966488"/>
    <w:p w14:paraId="5671DA85" w14:textId="77777777" w:rsidR="00966488" w:rsidRDefault="00000000">
      <w:r>
        <w:rPr>
          <w:rFonts w:ascii="Arial Unicode MS" w:eastAsia="Arial Unicode MS" w:hAnsi="Arial Unicode MS" w:cs="Arial Unicode MS"/>
        </w:rPr>
        <w:t>在由 Glassnode 和 Coinbase 機構聯合發布的第三季度「加密貨幣市場指南」中，探討了鏈上活動的快速成長、ETF 的變革性影響以及當前市場週期的定位。</w:t>
      </w:r>
    </w:p>
    <w:p w14:paraId="68D907CA" w14:textId="77777777" w:rsidR="00966488" w:rsidRDefault="00966488">
      <w:pPr>
        <w:numPr>
          <w:ilvl w:val="0"/>
          <w:numId w:val="2"/>
        </w:numPr>
        <w:spacing w:line="384" w:lineRule="auto"/>
        <w:ind w:left="660" w:right="-120"/>
        <w:rPr>
          <w:color w:val="000000"/>
        </w:rPr>
      </w:pPr>
    </w:p>
    <w:p w14:paraId="690CCAAA" w14:textId="77777777" w:rsidR="00966488" w:rsidRDefault="00000000">
      <w:pPr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114300" distB="114300" distL="114300" distR="114300" wp14:anchorId="7847EB3A" wp14:editId="7A17F658">
            <wp:extent cx="5087775" cy="2862434"/>
            <wp:effectExtent l="0" t="0" r="0" b="0"/>
            <wp:docPr id="4" name="image4.png" descr="Coinbase + Glassnode: The Q3 Guide to Crypto Marke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oinbase + Glassnode: The Q3 Guide to Crypto Markets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775" cy="286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7C662" w14:textId="77777777" w:rsidR="00966488" w:rsidRDefault="00966488">
      <w:pPr>
        <w:spacing w:line="384" w:lineRule="auto"/>
        <w:rPr>
          <w:sz w:val="24"/>
          <w:szCs w:val="24"/>
        </w:rPr>
      </w:pPr>
    </w:p>
    <w:p w14:paraId="4D126349" w14:textId="77777777" w:rsidR="00966488" w:rsidRDefault="00000000">
      <w:pPr>
        <w:pStyle w:val="3"/>
        <w:spacing w:line="384" w:lineRule="auto"/>
        <w:rPr>
          <w:color w:val="000000"/>
        </w:rPr>
      </w:pPr>
      <w:bookmarkStart w:id="1" w:name="_x4087pvjc0al" w:colFirst="0" w:colLast="0"/>
      <w:bookmarkEnd w:id="1"/>
      <w:r>
        <w:rPr>
          <w:rFonts w:ascii="Arial Unicode MS" w:eastAsia="Arial Unicode MS" w:hAnsi="Arial Unicode MS" w:cs="Arial Unicode MS"/>
          <w:color w:val="000000"/>
        </w:rPr>
        <w:t>主要亮點：</w:t>
      </w:r>
    </w:p>
    <w:p w14:paraId="5577BE83" w14:textId="77777777" w:rsidR="00966488" w:rsidRDefault="00000000">
      <w:pPr>
        <w:numPr>
          <w:ilvl w:val="0"/>
          <w:numId w:val="1"/>
        </w:numPr>
        <w:rPr>
          <w:color w:val="000000"/>
        </w:rPr>
      </w:pPr>
      <w:r>
        <w:rPr>
          <w:rFonts w:ascii="Arial Unicode MS" w:eastAsia="Arial Unicode MS" w:hAnsi="Arial Unicode MS" w:cs="Arial Unicode MS"/>
          <w:b/>
        </w:rPr>
        <w:t>衡量市場週期</w:t>
      </w:r>
      <w:r>
        <w:rPr>
          <w:rFonts w:ascii="Arial Unicode MS" w:eastAsia="Arial Unicode MS" w:hAnsi="Arial Unicode MS" w:cs="Arial Unicode MS"/>
        </w:rPr>
        <w:t>：加密貨幣市場以其獨特的上漲和下跌週期而聞名。最近的數據表明，儘管第二季度出現了回調，但我們很可能正處於自2022年底開始的當前牛市週期的中期。歷史模式顯示，此類調整是典型的，並與過去的市場行為一致。</w:t>
      </w:r>
    </w:p>
    <w:p w14:paraId="6DD47D01" w14:textId="77777777" w:rsidR="00966488" w:rsidRDefault="00966488"/>
    <w:p w14:paraId="0BCC9244" w14:textId="77777777" w:rsidR="00966488" w:rsidRDefault="00000000">
      <w:pPr>
        <w:numPr>
          <w:ilvl w:val="0"/>
          <w:numId w:val="1"/>
        </w:numPr>
        <w:rPr>
          <w:color w:val="000000"/>
        </w:rPr>
      </w:pPr>
      <w:r>
        <w:rPr>
          <w:rFonts w:ascii="Arial Unicode MS" w:eastAsia="Arial Unicode MS" w:hAnsi="Arial Unicode MS" w:cs="Arial Unicode MS"/>
          <w:b/>
        </w:rPr>
        <w:t>ETF 改變了格局</w:t>
      </w:r>
      <w:r>
        <w:rPr>
          <w:rFonts w:ascii="Arial Unicode MS" w:eastAsia="Arial Unicode MS" w:hAnsi="Arial Unicode MS" w:cs="Arial Unicode MS"/>
        </w:rPr>
        <w:t>： 現貨比特幣 ETF 在短短六個月內就累積了近500億美元的資產管理規模，吸引了新投資者並增強了市場流動性。 ETF 引入了一種受監管且熟悉的投資工具，補充了現有選擇，並對更廣泛的加密生態系統產生了積極影響。</w:t>
      </w:r>
    </w:p>
    <w:p w14:paraId="4213FAC4" w14:textId="77777777" w:rsidR="00966488" w:rsidRDefault="00966488"/>
    <w:p w14:paraId="138816A9" w14:textId="77777777" w:rsidR="00966488" w:rsidRDefault="00000000">
      <w:pPr>
        <w:numPr>
          <w:ilvl w:val="0"/>
          <w:numId w:val="1"/>
        </w:numPr>
        <w:rPr>
          <w:color w:val="000000"/>
        </w:rPr>
      </w:pPr>
      <w:r>
        <w:rPr>
          <w:rFonts w:ascii="Arial Unicode MS" w:eastAsia="Arial Unicode MS" w:hAnsi="Arial Unicode MS" w:cs="Arial Unicode MS"/>
          <w:b/>
        </w:rPr>
        <w:lastRenderedPageBreak/>
        <w:t>鏈上活動迅速增加</w:t>
      </w:r>
      <w:r>
        <w:rPr>
          <w:rFonts w:ascii="Arial Unicode MS" w:eastAsia="Arial Unicode MS" w:hAnsi="Arial Unicode MS" w:cs="Arial Unicode MS"/>
        </w:rPr>
        <w:t>： 在過去六個月中，鎖定總價值（TVL）、活躍地址和用戶基數等多個指標顯示鏈上活動顯著上升。這一激增是由多種用例推動的，包括借貸、質押和交易。隨著現有用例的成熟以及新創新的出現，鏈上采用預計將進一步增長。</w:t>
      </w:r>
    </w:p>
    <w:p w14:paraId="66DA029F" w14:textId="77777777" w:rsidR="00966488" w:rsidRDefault="00000000">
      <w:pPr>
        <w:pStyle w:val="2"/>
      </w:pPr>
      <w:bookmarkStart w:id="2" w:name="_mlkkkigq0b4p" w:colFirst="0" w:colLast="0"/>
      <w:bookmarkEnd w:id="2"/>
      <w:r>
        <w:rPr>
          <w:rFonts w:ascii="Arial Unicode MS" w:eastAsia="Arial Unicode MS" w:hAnsi="Arial Unicode MS" w:cs="Arial Unicode MS"/>
        </w:rPr>
        <w:t>第三季主要趨勢：</w:t>
      </w:r>
    </w:p>
    <w:p w14:paraId="54A37490" w14:textId="77777777" w:rsidR="00966488" w:rsidRDefault="00000000">
      <w:pPr>
        <w:pStyle w:val="3"/>
        <w:keepNext w:val="0"/>
        <w:keepLines w:val="0"/>
        <w:spacing w:before="560" w:after="0"/>
        <w:rPr>
          <w:color w:val="000000"/>
        </w:rPr>
      </w:pPr>
      <w:bookmarkStart w:id="3" w:name="_aqb7myv9a4mg" w:colFirst="0" w:colLast="0"/>
      <w:bookmarkEnd w:id="3"/>
      <w:r>
        <w:rPr>
          <w:rFonts w:ascii="Arial Unicode MS" w:eastAsia="Arial Unicode MS" w:hAnsi="Arial Unicode MS" w:cs="Arial Unicode MS"/>
          <w:color w:val="000000"/>
        </w:rPr>
        <w:t>MVRV 投資人獲利趨勢</w:t>
      </w:r>
    </w:p>
    <w:p w14:paraId="1DBB9A3F" w14:textId="77777777" w:rsidR="00966488" w:rsidRDefault="00966488"/>
    <w:p w14:paraId="411925DF" w14:textId="77777777" w:rsidR="00966488" w:rsidRDefault="00000000">
      <w:r>
        <w:rPr>
          <w:rFonts w:ascii="Arial Unicode MS" w:eastAsia="Arial Unicode MS" w:hAnsi="Arial Unicode MS" w:cs="Arial Unicode MS"/>
        </w:rPr>
        <w:t>MVRV 動量是一種工具，透過追蹤投資者持有的平均未實現利潤倍數（MVRV）相對於365天移動平均線，幫助分析師監控市場趨勢。當 MVRV 交易高於365天平均線時，通常顯示強勁的上升趨勢和投資者獲利能力的提高，可能導致市場調整期間部位增加。相反，當 MVRV 低於365天平均值時，通常表示存在重大未實現損失，增加了不確定性和避險決策。</w:t>
      </w:r>
    </w:p>
    <w:p w14:paraId="7CCEC4AF" w14:textId="77777777" w:rsidR="00966488" w:rsidRDefault="00000000">
      <w:r>
        <w:rPr>
          <w:noProof/>
        </w:rPr>
        <w:drawing>
          <wp:inline distT="114300" distB="114300" distL="114300" distR="114300" wp14:anchorId="04528BED" wp14:editId="6DCEC39C">
            <wp:extent cx="5215985" cy="2633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t="10417"/>
                    <a:stretch>
                      <a:fillRect/>
                    </a:stretch>
                  </pic:blipFill>
                  <pic:spPr>
                    <a:xfrm>
                      <a:off x="0" y="0"/>
                      <a:ext cx="5215985" cy="26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C6443" w14:textId="77777777" w:rsidR="00966488" w:rsidRDefault="00000000">
      <w:pPr>
        <w:jc w:val="center"/>
      </w:pPr>
      <w:r>
        <w:rPr>
          <w:rFonts w:ascii="Arial Unicode MS" w:eastAsia="Arial Unicode MS" w:hAnsi="Arial Unicode MS" w:cs="Arial Unicode MS"/>
        </w:rPr>
        <w:t>比特幣：市場價值與已實現價值動力</w:t>
      </w:r>
    </w:p>
    <w:p w14:paraId="2A7F2D64" w14:textId="77777777" w:rsidR="00966488" w:rsidRDefault="00966488">
      <w:pPr>
        <w:jc w:val="center"/>
      </w:pPr>
    </w:p>
    <w:p w14:paraId="6BFD2101" w14:textId="77777777" w:rsidR="00966488" w:rsidRDefault="00000000">
      <w:r>
        <w:rPr>
          <w:rFonts w:ascii="Arial Unicode MS" w:eastAsia="Arial Unicode MS" w:hAnsi="Arial Unicode MS" w:cs="Arial Unicode MS"/>
        </w:rPr>
        <w:t>在7月初，MVRV 比率在365天移動平均線附近找到支撐，顯示2024年的上升趨勢保持不變，投資者獲利能力良好。</w:t>
      </w:r>
    </w:p>
    <w:p w14:paraId="68E80EBC" w14:textId="77777777" w:rsidR="00966488" w:rsidRDefault="00000000">
      <w:pPr>
        <w:pStyle w:val="2"/>
        <w:keepNext w:val="0"/>
        <w:keepLines w:val="0"/>
        <w:spacing w:before="560" w:after="0"/>
      </w:pPr>
      <w:bookmarkStart w:id="4" w:name="_3wcc2w9fi7n3" w:colFirst="0" w:colLast="0"/>
      <w:bookmarkEnd w:id="4"/>
      <w:r>
        <w:rPr>
          <w:rFonts w:ascii="Arial Unicode MS" w:eastAsia="Arial Unicode MS" w:hAnsi="Arial Unicode MS" w:cs="Arial Unicode MS"/>
        </w:rPr>
        <w:t>比特幣週期表現和回撤</w:t>
      </w:r>
    </w:p>
    <w:p w14:paraId="298A2760" w14:textId="77777777" w:rsidR="00966488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30332093" wp14:editId="34756645">
            <wp:extent cx="5465907" cy="276951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0045"/>
                    <a:stretch>
                      <a:fillRect/>
                    </a:stretch>
                  </pic:blipFill>
                  <pic:spPr>
                    <a:xfrm>
                      <a:off x="0" y="0"/>
                      <a:ext cx="5465907" cy="2769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568FD" w14:textId="77777777" w:rsidR="00966488" w:rsidRDefault="00000000">
      <w:pPr>
        <w:jc w:val="center"/>
      </w:pPr>
      <w:r>
        <w:rPr>
          <w:rFonts w:ascii="Arial Unicode MS" w:eastAsia="Arial Unicode MS" w:hAnsi="Arial Unicode MS" w:cs="Arial Unicode MS"/>
        </w:rPr>
        <w:t>比特幣：牛市修正平倉</w:t>
      </w:r>
    </w:p>
    <w:p w14:paraId="346986F4" w14:textId="77777777" w:rsidR="00966488" w:rsidRDefault="00966488">
      <w:pPr>
        <w:jc w:val="center"/>
      </w:pPr>
    </w:p>
    <w:p w14:paraId="4F6B1EB3" w14:textId="77777777" w:rsidR="00966488" w:rsidRDefault="00000000">
      <w:r>
        <w:rPr>
          <w:rFonts w:ascii="Arial Unicode MS" w:eastAsia="Arial Unicode MS" w:hAnsi="Arial Unicode MS" w:cs="Arial Unicode MS"/>
        </w:rPr>
        <w:t>目前的多頭市場始於2022年底，比特幣價格已上漲400%。在FTX崩潰後，比特幣價格經歷了18個月的穩定升值，達到73,000美元。此後，市場進入了三個月的區間震盪階段，隨後下跌26%。與先前的周期相比，此下降趨勢較淺，顯示市場結構穩健且波動性降低。這一2023-24週週期反映了2018-21和2015-17週期，為週期結構和持續時間提供了寶貴的見解。</w:t>
      </w:r>
    </w:p>
    <w:p w14:paraId="5B858D9F" w14:textId="77777777" w:rsidR="00966488" w:rsidRDefault="00000000">
      <w:pPr>
        <w:pStyle w:val="2"/>
        <w:keepNext w:val="0"/>
        <w:keepLines w:val="0"/>
        <w:spacing w:before="560" w:after="0"/>
      </w:pPr>
      <w:bookmarkStart w:id="5" w:name="_czfatdn47ldi" w:colFirst="0" w:colLast="0"/>
      <w:bookmarkEnd w:id="5"/>
      <w:r>
        <w:rPr>
          <w:rFonts w:ascii="Arial Unicode MS" w:eastAsia="Arial Unicode MS" w:hAnsi="Arial Unicode MS" w:cs="Arial Unicode MS"/>
        </w:rPr>
        <w:t>BTC 現貨 ETF 餘額</w:t>
      </w:r>
    </w:p>
    <w:p w14:paraId="2D96E960" w14:textId="77777777" w:rsidR="00966488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16E127C1" wp14:editId="56BEE3EA">
            <wp:extent cx="5272088" cy="268984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934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689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3CED6" w14:textId="77777777" w:rsidR="00966488" w:rsidRDefault="00000000">
      <w:pPr>
        <w:jc w:val="center"/>
      </w:pPr>
      <w:r>
        <w:rPr>
          <w:rFonts w:ascii="Arial Unicode MS" w:eastAsia="Arial Unicode MS" w:hAnsi="Arial Unicode MS" w:cs="Arial Unicode MS"/>
        </w:rPr>
        <w:t>比特幣：美國比特幣現貨 ETF 結餘</w:t>
      </w:r>
    </w:p>
    <w:p w14:paraId="08A29BBF" w14:textId="77777777" w:rsidR="00966488" w:rsidRDefault="00966488">
      <w:pPr>
        <w:jc w:val="center"/>
      </w:pPr>
    </w:p>
    <w:p w14:paraId="613DA41C" w14:textId="77777777" w:rsidR="00966488" w:rsidRDefault="00000000">
      <w:r>
        <w:rPr>
          <w:rFonts w:ascii="Arial Unicode MS" w:eastAsia="Arial Unicode MS" w:hAnsi="Arial Unicode MS" w:cs="Arial Unicode MS"/>
        </w:rPr>
        <w:lastRenderedPageBreak/>
        <w:t>現貨比特幣 ETF 取得了前所未有的成功，資產管理規模超過500億美元，使其成為史上最成功的 ETF。自推出以來，ETF 的流入量大大超過了新比特幣的發行量，創造了巨大的需求。需求的增加推動了現貨和衍生性商品市場的交易量。</w:t>
      </w:r>
    </w:p>
    <w:p w14:paraId="14CDA915" w14:textId="77777777" w:rsidR="00966488" w:rsidRDefault="00000000">
      <w:pPr>
        <w:pStyle w:val="3"/>
        <w:keepNext w:val="0"/>
        <w:keepLines w:val="0"/>
        <w:spacing w:before="560" w:after="0"/>
        <w:rPr>
          <w:color w:val="000000"/>
        </w:rPr>
      </w:pPr>
      <w:bookmarkStart w:id="6" w:name="_3no979ipgauw" w:colFirst="0" w:colLast="0"/>
      <w:bookmarkEnd w:id="6"/>
      <w:r>
        <w:rPr>
          <w:rFonts w:ascii="Arial Unicode MS" w:eastAsia="Arial Unicode MS" w:hAnsi="Arial Unicode MS" w:cs="Arial Unicode MS"/>
          <w:color w:val="000000"/>
        </w:rPr>
        <w:t>比特幣期貨交易量及持倉量</w:t>
      </w:r>
    </w:p>
    <w:p w14:paraId="30DC351D" w14:textId="77777777" w:rsidR="00966488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43A68D0" wp14:editId="7FD3E779">
            <wp:extent cx="4967955" cy="2795588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7955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E7301" w14:textId="77777777" w:rsidR="00966488" w:rsidRDefault="00000000">
      <w:pPr>
        <w:jc w:val="center"/>
        <w:rPr>
          <w:shd w:val="clear" w:color="auto" w:fill="F7F7F7"/>
        </w:rPr>
      </w:pPr>
      <w:r>
        <w:rPr>
          <w:rFonts w:ascii="Arial Unicode MS" w:eastAsia="Arial Unicode MS" w:hAnsi="Arial Unicode MS" w:cs="Arial Unicode MS"/>
          <w:shd w:val="clear" w:color="auto" w:fill="F7F7F7"/>
        </w:rPr>
        <w:t>比特幣：未平倉期權[美元] - 所有交易所</w:t>
      </w:r>
    </w:p>
    <w:p w14:paraId="78BE9C31" w14:textId="77777777" w:rsidR="00966488" w:rsidRDefault="00966488">
      <w:pPr>
        <w:jc w:val="center"/>
        <w:rPr>
          <w:shd w:val="clear" w:color="auto" w:fill="F7F7F7"/>
        </w:rPr>
      </w:pPr>
    </w:p>
    <w:p w14:paraId="437AF1CC" w14:textId="77777777" w:rsidR="00966488" w:rsidRDefault="00000000">
      <w:r>
        <w:rPr>
          <w:rFonts w:ascii="Arial Unicode MS" w:eastAsia="Arial Unicode MS" w:hAnsi="Arial Unicode MS" w:cs="Arial Unicode MS"/>
        </w:rPr>
        <w:t>比特幣期貨的交易量和持倉量大幅上升。傳統期貨和永續期貨均表現出參與度和流動性的增加，反映出人們對比特幣衍生性商品日益增長的興趣。</w:t>
      </w:r>
    </w:p>
    <w:p w14:paraId="5E9AEB76" w14:textId="77777777" w:rsidR="00966488" w:rsidRDefault="00966488"/>
    <w:sectPr w:rsidR="009664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3568"/>
    <w:multiLevelType w:val="multilevel"/>
    <w:tmpl w:val="3EFCB06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5171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660108"/>
    <w:multiLevelType w:val="multilevel"/>
    <w:tmpl w:val="8F8C9B38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5171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8517672">
    <w:abstractNumId w:val="0"/>
  </w:num>
  <w:num w:numId="2" w16cid:durableId="1684236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488"/>
    <w:rsid w:val="006B1099"/>
    <w:rsid w:val="00966488"/>
    <w:rsid w:val="00DD6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59AFA4"/>
  <w15:docId w15:val="{38DF8FC0-CC83-244F-B26E-DE93B3B13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Hant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SZE, Pakyu [Student]</cp:lastModifiedBy>
  <cp:revision>2</cp:revision>
  <dcterms:created xsi:type="dcterms:W3CDTF">2024-09-16T09:49:00Z</dcterms:created>
  <dcterms:modified xsi:type="dcterms:W3CDTF">2024-09-16T09:49:00Z</dcterms:modified>
</cp:coreProperties>
</file>